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7B0" w:rsidRDefault="00C3288F">
      <w:pPr>
        <w:pStyle w:val="Ttulo1"/>
        <w:shd w:val="clear" w:color="auto" w:fill="FFFFFF"/>
        <w:spacing w:before="0" w:after="300"/>
        <w:ind w:left="2832"/>
        <w:jc w:val="right"/>
        <w:textAlignment w:val="baseline"/>
        <w:rPr>
          <w:rFonts w:asciiTheme="minorHAnsi" w:hAnsiTheme="minorHAnsi" w:cstheme="minorHAnsi"/>
          <w:bCs w:val="0"/>
          <w:sz w:val="18"/>
          <w:szCs w:val="18"/>
        </w:rPr>
      </w:pPr>
      <w:r>
        <w:rPr>
          <w:rFonts w:asciiTheme="minorHAnsi" w:hAnsiTheme="minorHAnsi" w:cstheme="minorHAnsi"/>
          <w:bCs w:val="0"/>
          <w:sz w:val="18"/>
          <w:szCs w:val="18"/>
        </w:rPr>
        <w:t>Alegaciones al proyecto PE-</w:t>
      </w:r>
      <w:r w:rsidR="00477647">
        <w:rPr>
          <w:rFonts w:asciiTheme="minorHAnsi" w:hAnsiTheme="minorHAnsi" w:cstheme="minorHAnsi"/>
          <w:bCs w:val="0"/>
          <w:sz w:val="18"/>
          <w:szCs w:val="18"/>
        </w:rPr>
        <w:t>Ágata (Ávila) y LAAT Galapagar</w:t>
      </w:r>
    </w:p>
    <w:p w:rsidR="004517B0" w:rsidRDefault="00C3288F">
      <w:pPr>
        <w:ind w:left="2832"/>
        <w:jc w:val="right"/>
        <w:rPr>
          <w:rFonts w:asciiTheme="minorHAnsi" w:hAnsiTheme="minorHAnsi" w:cstheme="minorHAnsi"/>
          <w:sz w:val="18"/>
          <w:szCs w:val="18"/>
        </w:rPr>
      </w:pPr>
      <w:r>
        <w:rPr>
          <w:rFonts w:asciiTheme="minorHAnsi" w:hAnsiTheme="minorHAnsi" w:cstheme="minorHAnsi"/>
          <w:sz w:val="18"/>
          <w:szCs w:val="18"/>
        </w:rPr>
        <w:t>Sr/a Jefe de la Oficina de Registro</w:t>
      </w:r>
    </w:p>
    <w:p w:rsidR="004517B0" w:rsidRDefault="00C3288F">
      <w:pPr>
        <w:ind w:left="2832"/>
        <w:jc w:val="right"/>
        <w:rPr>
          <w:rFonts w:asciiTheme="minorHAnsi" w:hAnsiTheme="minorHAnsi" w:cstheme="minorHAnsi"/>
          <w:sz w:val="18"/>
          <w:szCs w:val="18"/>
        </w:rPr>
      </w:pPr>
      <w:r>
        <w:rPr>
          <w:rFonts w:asciiTheme="minorHAnsi" w:hAnsiTheme="minorHAnsi" w:cstheme="minorHAnsi"/>
          <w:sz w:val="18"/>
          <w:szCs w:val="18"/>
        </w:rPr>
        <w:t xml:space="preserve">Registro de la Subdelegación de Gobierno en Ávila </w:t>
      </w:r>
    </w:p>
    <w:p w:rsidR="004517B0" w:rsidRDefault="00C3288F">
      <w:pPr>
        <w:ind w:left="2832"/>
        <w:jc w:val="right"/>
        <w:rPr>
          <w:rFonts w:asciiTheme="minorHAnsi" w:hAnsiTheme="minorHAnsi" w:cstheme="minorHAnsi"/>
          <w:sz w:val="18"/>
          <w:szCs w:val="18"/>
        </w:rPr>
      </w:pPr>
      <w:r>
        <w:rPr>
          <w:rFonts w:asciiTheme="minorHAnsi" w:hAnsiTheme="minorHAnsi" w:cstheme="minorHAnsi"/>
          <w:sz w:val="18"/>
          <w:szCs w:val="18"/>
        </w:rPr>
        <w:t>Calle Hornos Caleros, 1,</w:t>
      </w:r>
    </w:p>
    <w:p w:rsidR="004517B0" w:rsidRDefault="00C3288F">
      <w:pPr>
        <w:pStyle w:val="Ttulo1"/>
        <w:shd w:val="clear" w:color="auto" w:fill="FFFFFF"/>
        <w:spacing w:before="0" w:after="300"/>
        <w:ind w:left="2832"/>
        <w:jc w:val="right"/>
        <w:textAlignment w:val="baseline"/>
        <w:rPr>
          <w:rFonts w:asciiTheme="minorHAnsi" w:hAnsiTheme="minorHAnsi" w:cstheme="minorHAnsi"/>
          <w:b w:val="0"/>
          <w:bCs w:val="0"/>
          <w:sz w:val="18"/>
          <w:szCs w:val="18"/>
        </w:rPr>
      </w:pPr>
      <w:r>
        <w:rPr>
          <w:rFonts w:asciiTheme="minorHAnsi" w:hAnsiTheme="minorHAnsi" w:cstheme="minorHAnsi"/>
          <w:b w:val="0"/>
          <w:bCs w:val="0"/>
          <w:sz w:val="18"/>
          <w:szCs w:val="18"/>
        </w:rPr>
        <w:t>05001 Ávila</w:t>
      </w:r>
    </w:p>
    <w:p w:rsidR="004517B0" w:rsidRDefault="004517B0">
      <w:pPr>
        <w:jc w:val="both"/>
        <w:rPr>
          <w:rFonts w:asciiTheme="minorHAnsi" w:hAnsiTheme="minorHAnsi" w:cstheme="minorHAnsi"/>
          <w:sz w:val="22"/>
          <w:szCs w:val="22"/>
        </w:rPr>
      </w:pPr>
    </w:p>
    <w:p w:rsidR="004517B0" w:rsidRDefault="00C3288F">
      <w:pPr>
        <w:jc w:val="center"/>
        <w:rPr>
          <w:rFonts w:asciiTheme="minorHAnsi" w:hAnsiTheme="minorHAnsi" w:cstheme="minorHAnsi"/>
          <w:b/>
          <w:sz w:val="28"/>
          <w:szCs w:val="28"/>
        </w:rPr>
      </w:pPr>
      <w:r>
        <w:rPr>
          <w:rFonts w:asciiTheme="minorHAnsi" w:hAnsiTheme="minorHAnsi" w:cstheme="minorHAnsi"/>
          <w:b/>
          <w:sz w:val="28"/>
          <w:szCs w:val="28"/>
        </w:rPr>
        <w:t>A LA SUBDELEGACIÓN DE GOBIERNO</w:t>
      </w:r>
    </w:p>
    <w:p w:rsidR="004517B0" w:rsidRDefault="00C3288F">
      <w:pPr>
        <w:jc w:val="center"/>
        <w:rPr>
          <w:rFonts w:asciiTheme="minorHAnsi" w:hAnsiTheme="minorHAnsi" w:cstheme="minorHAnsi"/>
          <w:b/>
          <w:sz w:val="28"/>
          <w:szCs w:val="28"/>
        </w:rPr>
      </w:pPr>
      <w:r>
        <w:rPr>
          <w:rFonts w:asciiTheme="minorHAnsi" w:hAnsiTheme="minorHAnsi" w:cstheme="minorHAnsi"/>
          <w:b/>
          <w:sz w:val="28"/>
          <w:szCs w:val="28"/>
        </w:rPr>
        <w:t>EN ÁVILA</w:t>
      </w:r>
    </w:p>
    <w:p w:rsidR="004517B0" w:rsidRDefault="004517B0">
      <w:pPr>
        <w:jc w:val="center"/>
        <w:rPr>
          <w:rFonts w:asciiTheme="minorHAnsi" w:hAnsiTheme="minorHAnsi" w:cstheme="minorHAnsi"/>
          <w:b/>
          <w:sz w:val="22"/>
          <w:szCs w:val="22"/>
        </w:rPr>
      </w:pP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D/Dª _____________________________________con DNI_____________ y domicilio en </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_____________________________</w:t>
      </w:r>
      <w:proofErr w:type="gramStart"/>
      <w:r>
        <w:rPr>
          <w:rFonts w:asciiTheme="minorHAnsi" w:hAnsiTheme="minorHAnsi" w:cstheme="minorHAnsi"/>
          <w:sz w:val="22"/>
          <w:szCs w:val="22"/>
        </w:rPr>
        <w:t>,Calle</w:t>
      </w:r>
      <w:proofErr w:type="gramEnd"/>
      <w:r>
        <w:rPr>
          <w:rFonts w:asciiTheme="minorHAnsi" w:hAnsiTheme="minorHAnsi" w:cstheme="minorHAnsi"/>
          <w:sz w:val="22"/>
          <w:szCs w:val="22"/>
        </w:rPr>
        <w:t>_____________________________ ______________</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proofErr w:type="gramStart"/>
      <w:r>
        <w:rPr>
          <w:rFonts w:asciiTheme="minorHAnsi" w:hAnsiTheme="minorHAnsi" w:cstheme="minorHAnsi"/>
          <w:sz w:val="22"/>
          <w:szCs w:val="22"/>
        </w:rPr>
        <w:t>ante</w:t>
      </w:r>
      <w:proofErr w:type="gramEnd"/>
      <w:r>
        <w:rPr>
          <w:rFonts w:asciiTheme="minorHAnsi" w:hAnsiTheme="minorHAnsi" w:cstheme="minorHAnsi"/>
          <w:sz w:val="22"/>
          <w:szCs w:val="22"/>
        </w:rPr>
        <w:t xml:space="preserve"> esa Subdelegación de Gobierno comparezco, y como mejor  proceda en derecho, </w:t>
      </w:r>
      <w:r>
        <w:rPr>
          <w:rFonts w:asciiTheme="minorHAnsi" w:hAnsiTheme="minorHAnsi" w:cstheme="minorHAnsi"/>
          <w:b/>
          <w:sz w:val="22"/>
          <w:szCs w:val="22"/>
        </w:rPr>
        <w:t>DIGO</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b/>
          <w:sz w:val="22"/>
          <w:szCs w:val="22"/>
        </w:rPr>
        <w:t>1º.-</w:t>
      </w:r>
      <w:r>
        <w:rPr>
          <w:rFonts w:asciiTheme="minorHAnsi" w:hAnsiTheme="minorHAnsi" w:cstheme="minorHAnsi"/>
          <w:sz w:val="22"/>
          <w:szCs w:val="22"/>
        </w:rPr>
        <w:t xml:space="preserve"> </w:t>
      </w:r>
      <w:r w:rsidR="00477647">
        <w:rPr>
          <w:rFonts w:asciiTheme="minorHAnsi" w:hAnsiTheme="minorHAnsi" w:cstheme="minorHAnsi"/>
          <w:sz w:val="22"/>
          <w:szCs w:val="22"/>
        </w:rPr>
        <w:t>Tras la publicación en el diario oficial d</w:t>
      </w:r>
      <w:r>
        <w:rPr>
          <w:rFonts w:asciiTheme="minorHAnsi" w:hAnsiTheme="minorHAnsi" w:cstheme="minorHAnsi"/>
          <w:sz w:val="22"/>
          <w:szCs w:val="22"/>
        </w:rPr>
        <w:t>el anuncio de la Dependencia de Industria y Energía de la Subdelegación del Gobierno en Ávila, por el que se somete a  información pública la solicitud de Autorización Administrativa Previa y Declaraci</w:t>
      </w:r>
      <w:bookmarkStart w:id="0" w:name="_GoBack"/>
      <w:bookmarkEnd w:id="0"/>
      <w:r>
        <w:rPr>
          <w:rFonts w:asciiTheme="minorHAnsi" w:hAnsiTheme="minorHAnsi" w:cstheme="minorHAnsi"/>
          <w:sz w:val="22"/>
          <w:szCs w:val="22"/>
        </w:rPr>
        <w:t xml:space="preserve">ón de Impacto Ambiental del proyecto denominado “Ágata” en el término municipal de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(Ávila), y línea aérea de alta tensión  para el transporte de la energía generada.</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b/>
          <w:bCs/>
          <w:sz w:val="22"/>
          <w:szCs w:val="22"/>
        </w:rPr>
        <w:t>2º.-</w:t>
      </w:r>
      <w:r>
        <w:rPr>
          <w:rFonts w:asciiTheme="minorHAnsi" w:hAnsiTheme="minorHAnsi" w:cstheme="minorHAnsi"/>
          <w:bCs/>
          <w:sz w:val="22"/>
          <w:szCs w:val="22"/>
        </w:rPr>
        <w:t xml:space="preserve"> Que la solicitud ha sido formulada por l</w:t>
      </w:r>
      <w:r>
        <w:rPr>
          <w:rFonts w:asciiTheme="minorHAnsi" w:hAnsiTheme="minorHAnsi" w:cstheme="minorHAnsi"/>
          <w:sz w:val="22"/>
          <w:szCs w:val="22"/>
        </w:rPr>
        <w:t xml:space="preserve">a empresa GREEN CAPITAL DEVELOPMENT 51 S.L, interesada en construir un parque eólico de 110 MW, en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xml:space="preserve"> (Ávila) denominado Parque Eólico “ÁGATA” –en lo sucesivo PE Ágata-; así como una línea aérea de alta tensión  -en lo sucesivo LAAT- de 220 </w:t>
      </w:r>
      <w:proofErr w:type="spellStart"/>
      <w:r>
        <w:rPr>
          <w:rFonts w:asciiTheme="minorHAnsi" w:hAnsiTheme="minorHAnsi" w:cstheme="minorHAnsi"/>
          <w:sz w:val="22"/>
          <w:szCs w:val="22"/>
        </w:rPr>
        <w:t>kV</w:t>
      </w:r>
      <w:proofErr w:type="spellEnd"/>
      <w:r>
        <w:rPr>
          <w:rFonts w:asciiTheme="minorHAnsi" w:hAnsiTheme="minorHAnsi" w:cstheme="minorHAnsi"/>
          <w:sz w:val="22"/>
          <w:szCs w:val="22"/>
        </w:rPr>
        <w:t xml:space="preserve"> de 33,75 kilómetros de longitud hasta la subestación transformadora SET Galapagar, propiedad de REE (Red Eléctrica Española). Esta línea eléctrica tras abandonar el municipio de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xml:space="preserve"> en Ávila, atravesará los municipios madrileños de Santa María de la Alameda, </w:t>
      </w:r>
      <w:proofErr w:type="spellStart"/>
      <w:r>
        <w:rPr>
          <w:rFonts w:asciiTheme="minorHAnsi" w:hAnsiTheme="minorHAnsi" w:cstheme="minorHAnsi"/>
          <w:sz w:val="22"/>
          <w:szCs w:val="22"/>
        </w:rPr>
        <w:t>Zarzalejo</w:t>
      </w:r>
      <w:proofErr w:type="spellEnd"/>
      <w:r>
        <w:rPr>
          <w:rFonts w:asciiTheme="minorHAnsi" w:hAnsiTheme="minorHAnsi" w:cstheme="minorHAnsi"/>
          <w:sz w:val="22"/>
          <w:szCs w:val="22"/>
        </w:rPr>
        <w:t xml:space="preserve">, El Escorial, </w:t>
      </w:r>
      <w:proofErr w:type="spellStart"/>
      <w:r>
        <w:rPr>
          <w:rFonts w:asciiTheme="minorHAnsi" w:hAnsiTheme="minorHAnsi" w:cstheme="minorHAnsi"/>
          <w:sz w:val="22"/>
          <w:szCs w:val="22"/>
        </w:rPr>
        <w:t>Colmenarejo</w:t>
      </w:r>
      <w:proofErr w:type="spellEnd"/>
      <w:r>
        <w:rPr>
          <w:rFonts w:asciiTheme="minorHAnsi" w:hAnsiTheme="minorHAnsi" w:cstheme="minorHAnsi"/>
          <w:sz w:val="22"/>
          <w:szCs w:val="22"/>
        </w:rPr>
        <w:t xml:space="preserve"> y Galapagar.</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b/>
          <w:bCs/>
          <w:sz w:val="22"/>
          <w:szCs w:val="22"/>
        </w:rPr>
      </w:pPr>
      <w:r>
        <w:rPr>
          <w:rFonts w:asciiTheme="minorHAnsi" w:hAnsiTheme="minorHAnsi" w:cstheme="minorHAnsi"/>
          <w:sz w:val="22"/>
          <w:szCs w:val="22"/>
        </w:rPr>
        <w:t>Que, por considerar, que el referido proyecto no se justifica y provocará impactos críticos inasumibles en el territorio ocupado tanto por el PE, como por la LAAT, conforme dispone la Ley 39/2015 y dentro del plazo de 30 días conferido, formula las siguientes</w:t>
      </w:r>
    </w:p>
    <w:p w:rsidR="004517B0" w:rsidRDefault="004517B0">
      <w:pPr>
        <w:jc w:val="both"/>
        <w:rPr>
          <w:rFonts w:asciiTheme="minorHAnsi" w:hAnsiTheme="minorHAnsi" w:cstheme="minorHAnsi"/>
          <w:b/>
          <w:bCs/>
          <w:sz w:val="22"/>
          <w:szCs w:val="22"/>
        </w:rPr>
      </w:pPr>
    </w:p>
    <w:p w:rsidR="004517B0" w:rsidRDefault="004517B0">
      <w:pPr>
        <w:jc w:val="center"/>
        <w:rPr>
          <w:rFonts w:asciiTheme="minorHAnsi" w:hAnsiTheme="minorHAnsi" w:cstheme="minorHAnsi"/>
          <w:b/>
          <w:bCs/>
          <w:sz w:val="22"/>
          <w:szCs w:val="22"/>
        </w:rPr>
      </w:pPr>
    </w:p>
    <w:p w:rsidR="004517B0" w:rsidRDefault="00C3288F">
      <w:pPr>
        <w:jc w:val="center"/>
        <w:rPr>
          <w:rFonts w:asciiTheme="minorHAnsi" w:hAnsiTheme="minorHAnsi" w:cstheme="minorHAnsi"/>
          <w:b/>
          <w:bCs/>
          <w:sz w:val="22"/>
          <w:szCs w:val="22"/>
        </w:rPr>
      </w:pPr>
      <w:r>
        <w:rPr>
          <w:rFonts w:asciiTheme="minorHAnsi" w:hAnsiTheme="minorHAnsi" w:cstheme="minorHAnsi"/>
          <w:b/>
          <w:bCs/>
          <w:sz w:val="22"/>
          <w:szCs w:val="22"/>
        </w:rPr>
        <w:t>ALEGACIONES</w:t>
      </w:r>
    </w:p>
    <w:p w:rsidR="004517B0" w:rsidRDefault="004517B0">
      <w:pPr>
        <w:jc w:val="both"/>
        <w:rPr>
          <w:rFonts w:asciiTheme="minorHAnsi" w:hAnsiTheme="minorHAnsi" w:cstheme="minorHAnsi"/>
          <w:sz w:val="22"/>
          <w:szCs w:val="22"/>
        </w:rPr>
      </w:pPr>
    </w:p>
    <w:p w:rsidR="004517B0" w:rsidRDefault="00C3288F">
      <w:pPr>
        <w:rPr>
          <w:rFonts w:asciiTheme="minorHAnsi" w:hAnsiTheme="minorHAnsi" w:cstheme="minorHAnsi"/>
          <w:b/>
          <w:bCs/>
          <w:sz w:val="22"/>
          <w:szCs w:val="22"/>
        </w:rPr>
      </w:pPr>
      <w:r>
        <w:rPr>
          <w:rFonts w:asciiTheme="minorHAnsi" w:hAnsiTheme="minorHAnsi" w:cstheme="minorHAnsi"/>
          <w:b/>
          <w:bCs/>
          <w:sz w:val="22"/>
          <w:szCs w:val="22"/>
        </w:rPr>
        <w:t>1.- Insostenibilidad  de la energía producida y transportada en la PE Ágata y LAAT.</w:t>
      </w:r>
    </w:p>
    <w:p w:rsidR="004517B0" w:rsidRDefault="004517B0">
      <w:pPr>
        <w:rPr>
          <w:rFonts w:asciiTheme="minorHAnsi" w:hAnsiTheme="minorHAnsi" w:cstheme="minorHAnsi"/>
          <w:b/>
          <w:bCs/>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El parque eólico de Ágata, estará integrado por 19 aerogeneradores con una potencia total de 110 MW. El proyecto no justifica la necesidad de la instalación de este nuevo centro productor de energía. Si bien es fundamental </w:t>
      </w:r>
      <w:proofErr w:type="spellStart"/>
      <w:r>
        <w:rPr>
          <w:rFonts w:asciiTheme="minorHAnsi" w:hAnsiTheme="minorHAnsi" w:cstheme="minorHAnsi"/>
          <w:sz w:val="22"/>
          <w:szCs w:val="22"/>
        </w:rPr>
        <w:t>descarbonizar</w:t>
      </w:r>
      <w:proofErr w:type="spellEnd"/>
      <w:r>
        <w:rPr>
          <w:rFonts w:asciiTheme="minorHAnsi" w:hAnsiTheme="minorHAnsi" w:cstheme="minorHAnsi"/>
          <w:sz w:val="22"/>
          <w:szCs w:val="22"/>
        </w:rPr>
        <w:t xml:space="preserve"> la economía, el proceso actual de sobredimensionamiento de proyectos de implantación de energías renovables está superando la capacidad de la red.  El Plan Nacional Integrado de Energía y Clima (PNIEC)  prevé para el año 2030 una potencia instalada de 50 GW energía eólica. Actualmente hay muchos más GW en tramitación de los que realmente caben en el sistema. Una realidad que se recoge en la propuesta de planificación de la red eléctrica 2021-2026 que mantiene que “</w:t>
      </w:r>
      <w:r>
        <w:rPr>
          <w:rFonts w:asciiTheme="minorHAnsi" w:hAnsiTheme="minorHAnsi" w:cstheme="minorHAnsi"/>
          <w:i/>
          <w:sz w:val="22"/>
          <w:szCs w:val="22"/>
        </w:rPr>
        <w:t xml:space="preserve">las expectativas de los promotores de nueva generación, que se reflejan en el volumen de solicitudes de acceso [...] superan ampliamente los objetivos de instalación de renovables del PNIEC para el horizonte </w:t>
      </w:r>
      <w:r>
        <w:rPr>
          <w:rFonts w:asciiTheme="minorHAnsi" w:hAnsiTheme="minorHAnsi" w:cstheme="minorHAnsi"/>
          <w:i/>
          <w:sz w:val="22"/>
          <w:szCs w:val="22"/>
        </w:rPr>
        <w:lastRenderedPageBreak/>
        <w:t>de estudio 2026 e incluso para el horizonte a 2030. Estas expectativas superan en más de tres veces la nueva potencia a instalar a 2026 en el caso de la energía eólica”.</w:t>
      </w:r>
      <w:r>
        <w:rPr>
          <w:rFonts w:asciiTheme="minorHAnsi" w:hAnsiTheme="minorHAnsi" w:cstheme="minorHAnsi"/>
          <w:sz w:val="22"/>
          <w:szCs w:val="22"/>
        </w:rPr>
        <w:t xml:space="preserve"> </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En este caso además, tanto el PE Ágata, como la LAAT se proyectan sobre un territorio de extraordinario valor. Su construcción provocará que deban destruirse ambientalmente unos suelos que albergan una valiosa flora,  fauna, paisajes o territorios históricos declarados bien de interés cultural. Esto se pretende hacer sin respetar planificación de ningún tipo, o mejor dicho, en contra de la planificación tanto urbanística, como la aprobada para albergar los pasillos energéticos de la Comunidad de Madrid. Se da así la paradoja de que lo que se quiere evitar mediante la implantación de energías renovables --evitar el cambio del clima y la consiguiente desertización y pérdida de biodiversidad-, se provoca de forma mucho más directa y agresiva mediante la construcción sin planificación alguna, de </w:t>
      </w:r>
      <w:proofErr w:type="spellStart"/>
      <w:r>
        <w:rPr>
          <w:rFonts w:asciiTheme="minorHAnsi" w:hAnsiTheme="minorHAnsi" w:cstheme="minorHAnsi"/>
          <w:sz w:val="22"/>
          <w:szCs w:val="22"/>
        </w:rPr>
        <w:t>macroplantas</w:t>
      </w:r>
      <w:proofErr w:type="spellEnd"/>
      <w:r>
        <w:rPr>
          <w:rFonts w:asciiTheme="minorHAnsi" w:hAnsiTheme="minorHAnsi" w:cstheme="minorHAnsi"/>
          <w:sz w:val="22"/>
          <w:szCs w:val="22"/>
        </w:rPr>
        <w:t xml:space="preserve"> eólicas y </w:t>
      </w:r>
      <w:proofErr w:type="spellStart"/>
      <w:r>
        <w:rPr>
          <w:rFonts w:asciiTheme="minorHAnsi" w:hAnsiTheme="minorHAnsi" w:cstheme="minorHAnsi"/>
          <w:sz w:val="22"/>
          <w:szCs w:val="22"/>
        </w:rPr>
        <w:t>macroinfraestructuras</w:t>
      </w:r>
      <w:proofErr w:type="spellEnd"/>
      <w:r>
        <w:rPr>
          <w:rFonts w:asciiTheme="minorHAnsi" w:hAnsiTheme="minorHAnsi" w:cstheme="minorHAnsi"/>
          <w:sz w:val="22"/>
          <w:szCs w:val="22"/>
        </w:rPr>
        <w:t xml:space="preserve"> de transporte de energía como las solicitadas, que de construirse destruirán los sumideros de carbono que contienen las zonas de altísimo valor ambiental de las dos comunidades autónomas afectadas.</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b/>
          <w:sz w:val="22"/>
          <w:szCs w:val="22"/>
        </w:rPr>
      </w:pPr>
      <w:r>
        <w:rPr>
          <w:rFonts w:asciiTheme="minorHAnsi" w:hAnsiTheme="minorHAnsi" w:cstheme="minorHAnsi"/>
          <w:b/>
          <w:sz w:val="22"/>
          <w:szCs w:val="22"/>
        </w:rPr>
        <w:t>2.- Afección a la fauna.</w:t>
      </w:r>
    </w:p>
    <w:p w:rsidR="004517B0" w:rsidRDefault="004517B0">
      <w:pPr>
        <w:jc w:val="both"/>
        <w:rPr>
          <w:rFonts w:asciiTheme="minorHAnsi" w:hAnsiTheme="minorHAnsi" w:cstheme="minorHAnsi"/>
          <w:b/>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El PE AGATA agrede profundamente a la Fauna y especies protegidas de la zona de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xml:space="preserve"> y alrededores, tal y como indica su propio Estudio de Impacto. Igualmente, la LAAT destruirá muchos de los  hábitats faunísticos presentes en los casi 34km lineales de la infraestructura, tanto por muerte directa de los animales presentes en estos suelos, como mediante la pérdida de biodiversidad vinculada a la fragmentación de estos hábitats. </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Vulnera, con riesgo de colisión de más del 70 por ciento, a especies endémicas y en peligro de extinción, con una lista de </w:t>
      </w:r>
      <w:r>
        <w:rPr>
          <w:rFonts w:asciiTheme="minorHAnsi" w:hAnsiTheme="minorHAnsi" w:cstheme="minorHAnsi"/>
          <w:b/>
          <w:sz w:val="22"/>
          <w:szCs w:val="22"/>
        </w:rPr>
        <w:t>11 especies amenazadas</w:t>
      </w:r>
      <w:r>
        <w:rPr>
          <w:rFonts w:asciiTheme="minorHAnsi" w:hAnsiTheme="minorHAnsi" w:cstheme="minorHAnsi"/>
          <w:sz w:val="22"/>
          <w:szCs w:val="22"/>
        </w:rPr>
        <w:t>. El Águila Imperial Ibérica, y el Milano Real, ambas en</w:t>
      </w:r>
      <w:r>
        <w:rPr>
          <w:rFonts w:asciiTheme="minorHAnsi" w:hAnsiTheme="minorHAnsi" w:cstheme="minorHAnsi"/>
          <w:b/>
          <w:sz w:val="22"/>
          <w:szCs w:val="22"/>
        </w:rPr>
        <w:t xml:space="preserve"> Peligro de Extinción </w:t>
      </w:r>
      <w:r>
        <w:rPr>
          <w:rFonts w:asciiTheme="minorHAnsi" w:hAnsiTheme="minorHAnsi" w:cstheme="minorHAnsi"/>
          <w:sz w:val="22"/>
          <w:szCs w:val="22"/>
        </w:rPr>
        <w:t>son</w:t>
      </w:r>
      <w:r>
        <w:rPr>
          <w:rFonts w:asciiTheme="minorHAnsi" w:hAnsiTheme="minorHAnsi" w:cstheme="minorHAnsi"/>
          <w:b/>
          <w:sz w:val="22"/>
          <w:szCs w:val="22"/>
        </w:rPr>
        <w:t xml:space="preserve"> agredidas</w:t>
      </w:r>
      <w:r>
        <w:rPr>
          <w:rFonts w:asciiTheme="minorHAnsi" w:hAnsiTheme="minorHAnsi" w:cstheme="minorHAnsi"/>
          <w:sz w:val="22"/>
          <w:szCs w:val="22"/>
        </w:rPr>
        <w:t xml:space="preserve"> por este proyecto de manera directa en una </w:t>
      </w:r>
      <w:r>
        <w:rPr>
          <w:rFonts w:asciiTheme="minorHAnsi" w:hAnsiTheme="minorHAnsi" w:cstheme="minorHAnsi"/>
          <w:b/>
          <w:sz w:val="22"/>
          <w:szCs w:val="22"/>
        </w:rPr>
        <w:t xml:space="preserve">zona crítica </w:t>
      </w:r>
      <w:r>
        <w:rPr>
          <w:rFonts w:asciiTheme="minorHAnsi" w:hAnsiTheme="minorHAnsi" w:cstheme="minorHAnsi"/>
          <w:sz w:val="22"/>
          <w:szCs w:val="22"/>
        </w:rPr>
        <w:t>de su hábitat por sus estrategias de vuelo y su sensibilidad hacia instalaciones eólicas y eléctricas de alto voltaje. El proyecto</w:t>
      </w:r>
      <w:r>
        <w:rPr>
          <w:rFonts w:asciiTheme="minorHAnsi" w:hAnsiTheme="minorHAnsi" w:cstheme="minorHAnsi"/>
          <w:b/>
          <w:sz w:val="22"/>
          <w:szCs w:val="22"/>
        </w:rPr>
        <w:t xml:space="preserve"> reconoce que causará la muerte </w:t>
      </w:r>
      <w:r>
        <w:rPr>
          <w:rFonts w:asciiTheme="minorHAnsi" w:hAnsiTheme="minorHAnsi" w:cstheme="minorHAnsi"/>
          <w:sz w:val="22"/>
          <w:szCs w:val="22"/>
        </w:rPr>
        <w:t>por colisión o electrocución del Águila Imperial, el Buitre Negro y el Milano Real, así como de otras especies vulnerables como la Cigüeña negra, el Aguilucho Cenizo, Águila Real.</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El Estudio de impacto declara que además, </w:t>
      </w:r>
      <w:r>
        <w:rPr>
          <w:rFonts w:asciiTheme="minorHAnsi" w:hAnsiTheme="minorHAnsi" w:cstheme="minorHAnsi"/>
          <w:b/>
          <w:sz w:val="22"/>
          <w:szCs w:val="22"/>
        </w:rPr>
        <w:t>5 especies de Murciélagos</w:t>
      </w:r>
      <w:r>
        <w:rPr>
          <w:rFonts w:asciiTheme="minorHAnsi" w:hAnsiTheme="minorHAnsi" w:cstheme="minorHAnsi"/>
          <w:sz w:val="22"/>
          <w:szCs w:val="22"/>
        </w:rPr>
        <w:t xml:space="preserve"> catalogadas en “</w:t>
      </w:r>
      <w:r>
        <w:rPr>
          <w:rFonts w:asciiTheme="minorHAnsi" w:hAnsiTheme="minorHAnsi" w:cstheme="minorHAnsi"/>
          <w:b/>
          <w:sz w:val="22"/>
          <w:szCs w:val="22"/>
        </w:rPr>
        <w:t>Peligro de Extinción</w:t>
      </w:r>
      <w:r>
        <w:rPr>
          <w:rFonts w:asciiTheme="minorHAnsi" w:hAnsiTheme="minorHAnsi" w:cstheme="minorHAnsi"/>
          <w:sz w:val="22"/>
          <w:szCs w:val="22"/>
        </w:rPr>
        <w:t xml:space="preserve">” en el Catálogo Español de Especies Amenazadas (Murciélago ratonero mediano, Murciélago ratonero grande, Nóctulo grande, Nóctulo </w:t>
      </w:r>
      <w:proofErr w:type="gramStart"/>
      <w:r>
        <w:rPr>
          <w:rFonts w:asciiTheme="minorHAnsi" w:hAnsiTheme="minorHAnsi" w:cstheme="minorHAnsi"/>
          <w:sz w:val="22"/>
          <w:szCs w:val="22"/>
        </w:rPr>
        <w:t>mediano ,</w:t>
      </w:r>
      <w:proofErr w:type="gramEnd"/>
      <w:r>
        <w:rPr>
          <w:rFonts w:asciiTheme="minorHAnsi" w:hAnsiTheme="minorHAnsi" w:cstheme="minorHAnsi"/>
          <w:sz w:val="22"/>
          <w:szCs w:val="22"/>
        </w:rPr>
        <w:t xml:space="preserve"> Murciélago de cueva), tienen alto riesgo de interacción con las infraestructuras del parque eólico. </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 </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El lugar de implantación de los Aerogeneradores del proyecto </w:t>
      </w:r>
      <w:proofErr w:type="spellStart"/>
      <w:r>
        <w:rPr>
          <w:rFonts w:asciiTheme="minorHAnsi" w:hAnsiTheme="minorHAnsi" w:cstheme="minorHAnsi"/>
          <w:sz w:val="22"/>
          <w:szCs w:val="22"/>
        </w:rPr>
        <w:t>Agata</w:t>
      </w:r>
      <w:proofErr w:type="spellEnd"/>
      <w:r>
        <w:rPr>
          <w:rFonts w:asciiTheme="minorHAnsi" w:hAnsiTheme="minorHAnsi" w:cstheme="minorHAnsi"/>
          <w:sz w:val="22"/>
          <w:szCs w:val="22"/>
        </w:rPr>
        <w:t xml:space="preserve"> es una </w:t>
      </w:r>
      <w:r>
        <w:rPr>
          <w:rFonts w:asciiTheme="minorHAnsi" w:hAnsiTheme="minorHAnsi" w:cstheme="minorHAnsi"/>
          <w:b/>
          <w:sz w:val="22"/>
          <w:szCs w:val="22"/>
        </w:rPr>
        <w:t>zona de alto valor faunístico,</w:t>
      </w:r>
      <w:r>
        <w:rPr>
          <w:rFonts w:asciiTheme="minorHAnsi" w:hAnsiTheme="minorHAnsi" w:cstheme="minorHAnsi"/>
          <w:sz w:val="22"/>
          <w:szCs w:val="22"/>
        </w:rPr>
        <w:t xml:space="preserve"> situado entre 50 y 100 metros de las zonas</w:t>
      </w:r>
      <w:r>
        <w:rPr>
          <w:rFonts w:asciiTheme="minorHAnsi" w:hAnsiTheme="minorHAnsi" w:cstheme="minorHAnsi"/>
          <w:b/>
          <w:sz w:val="22"/>
          <w:szCs w:val="22"/>
        </w:rPr>
        <w:t xml:space="preserve"> ZEPA y ZEC</w:t>
      </w:r>
      <w:r>
        <w:rPr>
          <w:rFonts w:asciiTheme="minorHAnsi" w:hAnsiTheme="minorHAnsi" w:cstheme="minorHAnsi"/>
          <w:sz w:val="22"/>
          <w:szCs w:val="22"/>
        </w:rPr>
        <w:t xml:space="preserve"> protegidas (CAMPO AZÁLVARO -PINARES DE PEGUERINOS catalogada como de alta protección faunística  en la Red Natura 2000 (“Campo Azálvaro - Pinares de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xml:space="preserve">”  ZEC (ES4110097) y ZEPA (ES0000189). </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Los 19 aerogeneradores están </w:t>
      </w:r>
      <w:r>
        <w:rPr>
          <w:rFonts w:asciiTheme="minorHAnsi" w:hAnsiTheme="minorHAnsi" w:cstheme="minorHAnsi"/>
          <w:b/>
          <w:sz w:val="22"/>
          <w:szCs w:val="22"/>
        </w:rPr>
        <w:t>rodeados</w:t>
      </w:r>
      <w:r>
        <w:rPr>
          <w:rFonts w:asciiTheme="minorHAnsi" w:hAnsiTheme="minorHAnsi" w:cstheme="minorHAnsi"/>
          <w:sz w:val="22"/>
          <w:szCs w:val="22"/>
        </w:rPr>
        <w:t xml:space="preserve"> por 3 zonas de protección. En 4 ocasiones los aerogeneradores </w:t>
      </w:r>
      <w:r>
        <w:rPr>
          <w:rFonts w:asciiTheme="minorHAnsi" w:hAnsiTheme="minorHAnsi" w:cstheme="minorHAnsi"/>
          <w:b/>
          <w:sz w:val="22"/>
          <w:szCs w:val="22"/>
        </w:rPr>
        <w:t>lindan o penetran en zonas ZEC y ZEPA</w:t>
      </w:r>
      <w:r>
        <w:rPr>
          <w:rFonts w:asciiTheme="minorHAnsi" w:hAnsiTheme="minorHAnsi" w:cstheme="minorHAnsi"/>
          <w:sz w:val="22"/>
          <w:szCs w:val="22"/>
        </w:rPr>
        <w:t xml:space="preserve"> </w:t>
      </w:r>
      <w:proofErr w:type="gramStart"/>
      <w:r>
        <w:rPr>
          <w:rFonts w:asciiTheme="minorHAnsi" w:hAnsiTheme="minorHAnsi" w:cstheme="minorHAnsi"/>
          <w:sz w:val="22"/>
          <w:szCs w:val="22"/>
        </w:rPr>
        <w:t>( números</w:t>
      </w:r>
      <w:proofErr w:type="gramEnd"/>
      <w:r>
        <w:rPr>
          <w:rFonts w:asciiTheme="minorHAnsi" w:hAnsiTheme="minorHAnsi" w:cstheme="minorHAnsi"/>
          <w:sz w:val="22"/>
          <w:szCs w:val="22"/>
        </w:rPr>
        <w:t xml:space="preserve">  19, 18, 7 y 8, frente a ZEPA Campo Azálvaro-Pinares de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xml:space="preserve">, y número 01 junto a ZEPA Pinares del Rio Alberche). El Ministerio de Transición Energética, en su Estrategia para la Conservación del Águila Imperial, de julio de 2021, recomienda </w:t>
      </w:r>
      <w:r>
        <w:rPr>
          <w:rFonts w:asciiTheme="minorHAnsi" w:hAnsiTheme="minorHAnsi" w:cstheme="minorHAnsi"/>
          <w:b/>
          <w:sz w:val="22"/>
          <w:szCs w:val="22"/>
        </w:rPr>
        <w:t>no autorizar instalación de dichas infraestructuras en las áreas críticas</w:t>
      </w:r>
      <w:r>
        <w:rPr>
          <w:rFonts w:asciiTheme="minorHAnsi" w:hAnsiTheme="minorHAnsi" w:cstheme="minorHAnsi"/>
          <w:sz w:val="22"/>
          <w:szCs w:val="22"/>
        </w:rPr>
        <w:t xml:space="preserve"> (</w:t>
      </w:r>
      <w:proofErr w:type="spellStart"/>
      <w:r>
        <w:rPr>
          <w:rFonts w:asciiTheme="minorHAnsi" w:hAnsiTheme="minorHAnsi" w:cstheme="minorHAnsi"/>
          <w:sz w:val="22"/>
          <w:szCs w:val="22"/>
        </w:rPr>
        <w:t>pag</w:t>
      </w:r>
      <w:proofErr w:type="spellEnd"/>
      <w:r>
        <w:rPr>
          <w:rFonts w:asciiTheme="minorHAnsi" w:hAnsiTheme="minorHAnsi" w:cstheme="minorHAnsi"/>
          <w:sz w:val="22"/>
          <w:szCs w:val="22"/>
        </w:rPr>
        <w:t>. 22). Ruido, iluminación y agresión directa a la fauna son patentes en este proyecto.</w:t>
      </w:r>
    </w:p>
    <w:p w:rsidR="004517B0" w:rsidRDefault="00C3288F">
      <w:pPr>
        <w:jc w:val="both"/>
        <w:rPr>
          <w:rFonts w:asciiTheme="minorHAnsi" w:hAnsiTheme="minorHAnsi" w:cstheme="minorHAnsi"/>
          <w:i/>
          <w:sz w:val="22"/>
          <w:szCs w:val="22"/>
        </w:rPr>
      </w:pPr>
      <w:r>
        <w:rPr>
          <w:rFonts w:asciiTheme="minorHAnsi" w:hAnsiTheme="minorHAnsi" w:cstheme="minorHAnsi"/>
          <w:sz w:val="22"/>
          <w:szCs w:val="22"/>
        </w:rPr>
        <w:t>En estas zonas, en Fauna terrestre, e</w:t>
      </w:r>
      <w:r>
        <w:rPr>
          <w:rFonts w:asciiTheme="minorHAnsi" w:hAnsiTheme="minorHAnsi" w:cstheme="minorHAnsi"/>
          <w:b/>
          <w:sz w:val="22"/>
          <w:szCs w:val="22"/>
        </w:rPr>
        <w:t>l proyecto implica la agresión al Lobo Ibérico en zona de cría</w:t>
      </w:r>
      <w:r>
        <w:rPr>
          <w:rFonts w:asciiTheme="minorHAnsi" w:hAnsiTheme="minorHAnsi" w:cstheme="minorHAnsi"/>
          <w:sz w:val="22"/>
          <w:szCs w:val="22"/>
        </w:rPr>
        <w:t xml:space="preserve">: En la página 233 del Tomo I de su EIA, se dice: </w:t>
      </w:r>
      <w:r>
        <w:rPr>
          <w:rFonts w:asciiTheme="minorHAnsi" w:hAnsiTheme="minorHAnsi" w:cstheme="minorHAnsi"/>
          <w:i/>
          <w:sz w:val="22"/>
          <w:szCs w:val="22"/>
        </w:rPr>
        <w:t xml:space="preserve">“Este impacto está asociado a los movimientos de tierra, circulación de maquinaria, aumento de presencia humana y también a los niveles de ruido. En la zona del proyecto, en la </w:t>
      </w:r>
      <w:r>
        <w:rPr>
          <w:rFonts w:asciiTheme="minorHAnsi" w:hAnsiTheme="minorHAnsi" w:cstheme="minorHAnsi"/>
          <w:b/>
          <w:bCs/>
          <w:i/>
          <w:sz w:val="22"/>
          <w:szCs w:val="22"/>
        </w:rPr>
        <w:t xml:space="preserve">red de espacios protegidos </w:t>
      </w:r>
      <w:proofErr w:type="gramStart"/>
      <w:r>
        <w:rPr>
          <w:rFonts w:asciiTheme="minorHAnsi" w:hAnsiTheme="minorHAnsi" w:cstheme="minorHAnsi"/>
          <w:i/>
          <w:sz w:val="22"/>
          <w:szCs w:val="22"/>
        </w:rPr>
        <w:t>( Red</w:t>
      </w:r>
      <w:proofErr w:type="gramEnd"/>
      <w:r>
        <w:rPr>
          <w:rFonts w:asciiTheme="minorHAnsi" w:hAnsiTheme="minorHAnsi" w:cstheme="minorHAnsi"/>
          <w:i/>
          <w:sz w:val="22"/>
          <w:szCs w:val="22"/>
        </w:rPr>
        <w:t xml:space="preserve"> Natura 2000) el Lobo Ibérico está criando, con varias manadas e individuos solitarios”. </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lastRenderedPageBreak/>
        <w:t xml:space="preserve">La LAAT amenaza electrocutar a muchas de las especies citadas, como el Milano Real, de invernada en la zona, en su recorrido de 34 kilómetros de torres hasta Galapagar. </w:t>
      </w:r>
      <w:r>
        <w:rPr>
          <w:rFonts w:asciiTheme="minorHAnsi" w:hAnsiTheme="minorHAnsi" w:cstheme="minorHAnsi"/>
          <w:b/>
          <w:sz w:val="22"/>
          <w:szCs w:val="22"/>
        </w:rPr>
        <w:t xml:space="preserve"> </w:t>
      </w:r>
    </w:p>
    <w:p w:rsidR="004517B0" w:rsidRDefault="004517B0">
      <w:pPr>
        <w:jc w:val="both"/>
        <w:rPr>
          <w:rFonts w:asciiTheme="minorHAnsi" w:hAnsiTheme="minorHAnsi" w:cstheme="minorHAnsi"/>
          <w:sz w:val="22"/>
          <w:szCs w:val="22"/>
        </w:rPr>
      </w:pP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b/>
          <w:sz w:val="22"/>
          <w:szCs w:val="22"/>
        </w:rPr>
      </w:pPr>
      <w:r>
        <w:rPr>
          <w:rFonts w:asciiTheme="minorHAnsi" w:hAnsiTheme="minorHAnsi" w:cstheme="minorHAnsi"/>
          <w:b/>
          <w:sz w:val="22"/>
          <w:szCs w:val="22"/>
        </w:rPr>
        <w:t>3.- Impactos sobre el paisaje.</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Los vecinos y visitantes de una amplia zona de la Sierra de Guadarrama verán un paisaje transformado si se aprueba este proyecto. Los dos estudios de paisaje del proyecto, basados solo en programas informáticos y sin trabajo de campo ni investigación documental, no pueden esconder su impacto brutal en seis municipios serranos. Los 19 aerogeneradores (200m de altura) del parque eólico destrozarán las vistas de pueblos como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Los 34 km de línea de alta tensión, con torres de hasta 40m, arruinarán paisajes tan emblemáticos como el del Territorio Histórico de la Gran Cerca de Felipe II.</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    </w:t>
      </w:r>
    </w:p>
    <w:p w:rsidR="004517B0" w:rsidRDefault="00C3288F">
      <w:pPr>
        <w:jc w:val="both"/>
        <w:rPr>
          <w:rFonts w:asciiTheme="minorHAnsi" w:hAnsiTheme="minorHAnsi" w:cstheme="minorHAnsi"/>
          <w:b/>
          <w:bCs/>
          <w:sz w:val="22"/>
          <w:szCs w:val="22"/>
        </w:rPr>
      </w:pPr>
      <w:r>
        <w:rPr>
          <w:rFonts w:asciiTheme="minorHAnsi" w:hAnsiTheme="minorHAnsi" w:cstheme="minorHAnsi"/>
          <w:b/>
          <w:bCs/>
          <w:sz w:val="22"/>
          <w:szCs w:val="22"/>
        </w:rPr>
        <w:t>4.- Afección a la flora.</w:t>
      </w:r>
    </w:p>
    <w:p w:rsidR="004517B0" w:rsidRDefault="00C3288F">
      <w:pPr>
        <w:jc w:val="both"/>
        <w:rPr>
          <w:rFonts w:asciiTheme="minorHAnsi" w:hAnsiTheme="minorHAnsi" w:cstheme="minorHAnsi"/>
          <w:b/>
          <w:bCs/>
          <w:sz w:val="22"/>
          <w:szCs w:val="22"/>
        </w:rPr>
      </w:pPr>
      <w:r>
        <w:rPr>
          <w:rFonts w:asciiTheme="minorHAnsi" w:hAnsiTheme="minorHAnsi" w:cstheme="minorHAnsi"/>
          <w:b/>
          <w:bCs/>
          <w:sz w:val="22"/>
          <w:szCs w:val="22"/>
        </w:rPr>
        <w:t>a) El Parque Eólico Ágata</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Aunque la zona donde supuestamente han de situarse los aerogeneradores, con sus viales y demás infraestructuras asociados, no es una zona boscosa, sino en su mayor parte de monte bajo y matorral, se trata de un paisaje valioso de páramos de montaña, surcado de vaguadas con su correspondiente vegetación </w:t>
      </w:r>
      <w:proofErr w:type="spellStart"/>
      <w:r>
        <w:rPr>
          <w:rFonts w:asciiTheme="minorHAnsi" w:hAnsiTheme="minorHAnsi" w:cstheme="minorHAnsi"/>
          <w:sz w:val="22"/>
          <w:szCs w:val="22"/>
        </w:rPr>
        <w:t>riparia</w:t>
      </w:r>
      <w:proofErr w:type="spellEnd"/>
      <w:r>
        <w:rPr>
          <w:rFonts w:asciiTheme="minorHAnsi" w:hAnsiTheme="minorHAnsi" w:cstheme="minorHAnsi"/>
          <w:sz w:val="22"/>
          <w:szCs w:val="22"/>
        </w:rPr>
        <w:t xml:space="preserve">, arboles aislados y en algún caso bosquetes de roble melojo, fresno y pino silvestre. La cercanía a la </w:t>
      </w:r>
      <w:proofErr w:type="spellStart"/>
      <w:r>
        <w:rPr>
          <w:rFonts w:asciiTheme="minorHAnsi" w:hAnsiTheme="minorHAnsi" w:cstheme="minorHAnsi"/>
          <w:sz w:val="22"/>
          <w:szCs w:val="22"/>
        </w:rPr>
        <w:t>Zepa</w:t>
      </w:r>
      <w:proofErr w:type="spellEnd"/>
      <w:r>
        <w:rPr>
          <w:rFonts w:asciiTheme="minorHAnsi" w:hAnsiTheme="minorHAnsi" w:cstheme="minorHAnsi"/>
          <w:sz w:val="22"/>
          <w:szCs w:val="22"/>
        </w:rPr>
        <w:t xml:space="preserve"> “Pinar de </w:t>
      </w:r>
      <w:proofErr w:type="spellStart"/>
      <w:r>
        <w:rPr>
          <w:rFonts w:asciiTheme="minorHAnsi" w:hAnsiTheme="minorHAnsi" w:cstheme="minorHAnsi"/>
          <w:sz w:val="22"/>
          <w:szCs w:val="22"/>
        </w:rPr>
        <w:t>Peguerinos</w:t>
      </w:r>
      <w:proofErr w:type="spellEnd"/>
      <w:r>
        <w:rPr>
          <w:rFonts w:asciiTheme="minorHAnsi" w:hAnsiTheme="minorHAnsi" w:cstheme="minorHAnsi"/>
          <w:sz w:val="22"/>
          <w:szCs w:val="22"/>
        </w:rPr>
        <w:t>” y al Parque Natural  Sierra Norte de Guadarrama impedirían en cualquier caso el crecimiento natural del bosque hacia la zona ocupada, así como el de otras especies arbóreas cuya expansión es más que previsible de no existir intervención antrópica. Por otro lado, la infraestructura ocupa hábitats catalogados y por tanto no se pueden subestimar sus impactos.</w:t>
      </w:r>
    </w:p>
    <w:p w:rsidR="004517B0" w:rsidRDefault="004517B0">
      <w:pPr>
        <w:jc w:val="both"/>
        <w:rPr>
          <w:rFonts w:asciiTheme="minorHAnsi" w:hAnsiTheme="minorHAnsi" w:cstheme="minorHAnsi"/>
          <w:b/>
          <w:bCs/>
          <w:sz w:val="22"/>
          <w:szCs w:val="22"/>
        </w:rPr>
      </w:pPr>
    </w:p>
    <w:p w:rsidR="004517B0" w:rsidRDefault="00C3288F">
      <w:pPr>
        <w:jc w:val="both"/>
        <w:rPr>
          <w:rFonts w:asciiTheme="minorHAnsi" w:hAnsiTheme="minorHAnsi" w:cstheme="minorHAnsi"/>
          <w:b/>
          <w:bCs/>
          <w:sz w:val="22"/>
          <w:szCs w:val="22"/>
        </w:rPr>
      </w:pPr>
      <w:r>
        <w:rPr>
          <w:rFonts w:asciiTheme="minorHAnsi" w:hAnsiTheme="minorHAnsi" w:cstheme="minorHAnsi"/>
          <w:sz w:val="22"/>
          <w:szCs w:val="22"/>
        </w:rPr>
        <w:t>Los bosques serían afectados en una proporción mucho menor que el piornal, pero hay que señalar que siendo su presencia ciertamente escasa en relación al matorral, al menos dos aerogeneradores serán inexplicablemente instalados en zona arbolada con la consiguiente afección que no puede consistir sino en talas, explanaciones y con ello la eliminación de estas pequeñas islas arbóreas y su posibilidad de expansión</w:t>
      </w:r>
    </w:p>
    <w:p w:rsidR="004517B0" w:rsidRDefault="004517B0">
      <w:pPr>
        <w:jc w:val="both"/>
        <w:rPr>
          <w:rFonts w:asciiTheme="minorHAnsi" w:hAnsiTheme="minorHAnsi" w:cstheme="minorHAnsi"/>
          <w:b/>
          <w:bCs/>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b/>
          <w:bCs/>
          <w:sz w:val="22"/>
          <w:szCs w:val="22"/>
        </w:rPr>
        <w:t>b) La LAAT afectaría muy negativamente a zonas arboladas bien conservadas, de interés paisajístico y ecológico.</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El proyecto reconoce que la línea eléctrica se sitúa sobre zonas boscosas, en un 57,04% de la misma.  Se trata de zonas densamente pobladas  por enebrales, encinares, pinares y fresnedas. El deficiente estudio de impacto ambiental sacado a información pública,  no identifica de forma precisa el arbolado que deberá ser talado, si bien el proyecto afirma de manera tajante que deberán ser taladas extensas superficies de estos bosques.</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 Así por ejemplo, en la página 25/56 del documento 2.Anteproyecto L220 –Apéndice LAAT 220-,  se habla abiertamente de la necesidad de talar el arbolado a lo que se denomina la “Distancia Explosiva” con la que se asegura que los árboles queden siempre a una distancia mínima de los conductores. </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 </w:t>
      </w: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Aporta el proyecto a continuación una serie de fórmulas para el cálculo de las superficies a talar que, por ejemplo, para el caso de las áreas con arbolado de porte alto, se cifran en 8,4 metros la franja mínima de tala para el caso de las Torres Fedra, a la que deberá añadirse la tala de aquellos árboles que, quedando su pie fuera de los 14,8m, invadan la misma en la zona de copa. Esto significa que habrá franjas de bosque que deberán ser deforestadas en aproximadamente 20,8m de anchura.</w:t>
      </w:r>
    </w:p>
    <w:p w:rsidR="004517B0" w:rsidRDefault="004517B0">
      <w:pPr>
        <w:ind w:firstLine="120"/>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lastRenderedPageBreak/>
        <w:t>La destrucción de grandes superficies de bosque,  que afectará -como es lógico- a los ejemplares arbóreos de mayor envergadura y por ello de mayor edad y valor ambiental, sin embargo, no es evaluada en el estudio ambiental. No existe inventario ambiental alguno que analice el número de árboles que deberán ser talados y las cualidades de estos ejemplares, muchos de ellos centenarios.</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Junto a estas talas masivas del arbolado presente bajo los 34 km de línea aérea, el proyecto plantea también la destrucción mediante el cementado y reforzado de los suelos ocupados por los apoyos, así como impactantes intervenciones sobre los viales de acceso a los puntos de construcción </w:t>
      </w:r>
      <w:proofErr w:type="gramStart"/>
      <w:r>
        <w:rPr>
          <w:rFonts w:asciiTheme="minorHAnsi" w:hAnsiTheme="minorHAnsi" w:cstheme="minorHAnsi"/>
          <w:sz w:val="22"/>
          <w:szCs w:val="22"/>
        </w:rPr>
        <w:t>de los pie</w:t>
      </w:r>
      <w:proofErr w:type="gramEnd"/>
      <w:r>
        <w:rPr>
          <w:rFonts w:asciiTheme="minorHAnsi" w:hAnsiTheme="minorHAnsi" w:cstheme="minorHAnsi"/>
          <w:sz w:val="22"/>
          <w:szCs w:val="22"/>
        </w:rPr>
        <w:t xml:space="preserve"> de torre. En total, según el proyecto, se acometerían 48,75 km de viales (unas 20 ha de intervención), bien a través de monte o bosque, bien ensanchando/reforzando caminos y trochas ya existentes.</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 xml:space="preserve">El impacto de unas acometidas de tal magnitud es </w:t>
      </w:r>
      <w:r>
        <w:rPr>
          <w:rFonts w:asciiTheme="minorHAnsi" w:hAnsiTheme="minorHAnsi" w:cstheme="minorHAnsi"/>
          <w:sz w:val="22"/>
          <w:szCs w:val="22"/>
          <w:u w:val="single"/>
        </w:rPr>
        <w:t>inasumible</w:t>
      </w:r>
      <w:r>
        <w:rPr>
          <w:rFonts w:asciiTheme="minorHAnsi" w:hAnsiTheme="minorHAnsi" w:cstheme="minorHAnsi"/>
          <w:sz w:val="22"/>
          <w:szCs w:val="22"/>
        </w:rPr>
        <w:t xml:space="preserve"> en el marco de un territorio que, en el 85% del total del trazado, es de alto valor ambiental y paisajístico y, como especifica el mismo proyecto, ubicado en zona de terreno asociado a diversos Hábitats de Interés Comunitario. Y como corolario de la absoluta insostenibilidad del proyecto al que se refieren las solicitudes objeto de este escrito, debe insistirse en que el estudio ambiental, no contiene un estudio o inventario de los miles de árboles que habrá que talar, por lo que el procedimiento de evaluación ambiental en tramitación no podrá cumplir en ningún caso la función prospectiva de estas evaluaciones.</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b/>
          <w:bCs/>
          <w:sz w:val="22"/>
          <w:szCs w:val="22"/>
        </w:rPr>
      </w:pPr>
      <w:r>
        <w:rPr>
          <w:rFonts w:asciiTheme="minorHAnsi" w:hAnsiTheme="minorHAnsi" w:cstheme="minorHAnsi"/>
          <w:b/>
          <w:bCs/>
          <w:sz w:val="22"/>
          <w:szCs w:val="22"/>
        </w:rPr>
        <w:t xml:space="preserve">5.- Impacto sobre el patrimonio histórico y cultural. </w:t>
      </w:r>
    </w:p>
    <w:p w:rsidR="004517B0" w:rsidRDefault="00C3288F">
      <w:pPr>
        <w:jc w:val="both"/>
        <w:rPr>
          <w:rFonts w:asciiTheme="minorHAnsi" w:hAnsiTheme="minorHAnsi" w:cstheme="minorHAnsi"/>
          <w:bCs/>
          <w:sz w:val="22"/>
          <w:szCs w:val="22"/>
        </w:rPr>
      </w:pPr>
      <w:r>
        <w:rPr>
          <w:rFonts w:asciiTheme="minorHAnsi" w:hAnsiTheme="minorHAnsi" w:cstheme="minorHAnsi"/>
          <w:bCs/>
          <w:sz w:val="22"/>
          <w:szCs w:val="22"/>
        </w:rPr>
        <w:t>El proyecto provocará también impactos críticos sobre los valores históricos y culturales del territorio ocupado tanto por la PE Ágata, como la LAAT.</w:t>
      </w:r>
    </w:p>
    <w:p w:rsidR="004517B0" w:rsidRDefault="00C3288F">
      <w:pPr>
        <w:jc w:val="both"/>
        <w:rPr>
          <w:rFonts w:asciiTheme="minorHAnsi" w:hAnsiTheme="minorHAnsi" w:cstheme="minorHAnsi"/>
          <w:bCs/>
          <w:sz w:val="22"/>
          <w:szCs w:val="22"/>
        </w:rPr>
      </w:pPr>
      <w:r>
        <w:rPr>
          <w:rFonts w:asciiTheme="minorHAnsi" w:hAnsiTheme="minorHAnsi" w:cstheme="minorHAnsi"/>
          <w:bCs/>
          <w:sz w:val="22"/>
          <w:szCs w:val="22"/>
        </w:rPr>
        <w:t>Los suelos sobre los que se pretenden instalar los 19 aerogeneradores cuentan en sus inmediaciones con numerosos vestigios de la guerra civil española, consistentes en fortificaciones, bunkers y trincheras.  El aerogenerador nº 15 intrusa directamente en los suelos ocupados por el conjunto de vestigios denominado Cerro sobre Hoyo de la Guija.</w:t>
      </w:r>
    </w:p>
    <w:p w:rsidR="004517B0" w:rsidRDefault="004517B0">
      <w:pPr>
        <w:jc w:val="both"/>
        <w:rPr>
          <w:rFonts w:asciiTheme="minorHAnsi" w:hAnsiTheme="minorHAnsi" w:cstheme="minorHAnsi"/>
          <w:bCs/>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bCs/>
          <w:sz w:val="22"/>
          <w:szCs w:val="22"/>
        </w:rPr>
        <w:t xml:space="preserve">La LAAT por su parte, se proyecta sobre buena parte del territorio histórico declarado Bien de Interés Cultural –BIC- </w:t>
      </w:r>
      <w:r>
        <w:rPr>
          <w:rFonts w:asciiTheme="minorHAnsi" w:hAnsiTheme="minorHAnsi" w:cstheme="minorHAnsi"/>
          <w:sz w:val="22"/>
          <w:szCs w:val="22"/>
        </w:rPr>
        <w:t xml:space="preserve">del Real Sitio de San Lorenzo de El Escorial constituido por el ámbito delimitado por la Cerca Histórica de Felipe II. Este BIC fue declarado por Decreto 52/2006, de 15 de </w:t>
      </w:r>
      <w:proofErr w:type="spellStart"/>
      <w:r>
        <w:rPr>
          <w:rFonts w:asciiTheme="minorHAnsi" w:hAnsiTheme="minorHAnsi" w:cstheme="minorHAnsi"/>
          <w:sz w:val="22"/>
          <w:szCs w:val="22"/>
        </w:rPr>
        <w:t>junio</w:t>
      </w:r>
      <w:proofErr w:type="gramStart"/>
      <w:r>
        <w:rPr>
          <w:rFonts w:asciiTheme="minorHAnsi" w:hAnsiTheme="minorHAnsi" w:cstheme="minorHAnsi"/>
          <w:sz w:val="22"/>
          <w:szCs w:val="22"/>
        </w:rPr>
        <w:t>,y</w:t>
      </w:r>
      <w:proofErr w:type="spellEnd"/>
      <w:proofErr w:type="gramEnd"/>
      <w:r>
        <w:rPr>
          <w:rFonts w:asciiTheme="minorHAnsi" w:hAnsiTheme="minorHAnsi" w:cstheme="minorHAnsi"/>
          <w:sz w:val="22"/>
          <w:szCs w:val="22"/>
        </w:rPr>
        <w:t xml:space="preserve"> publicado en el BOCM el día 21 de junio de 2006.</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bCs/>
          <w:sz w:val="22"/>
          <w:szCs w:val="22"/>
        </w:rPr>
        <w:t xml:space="preserve">En concreto, la línea eléctrica fragmentará este territorio en un </w:t>
      </w:r>
      <w:r>
        <w:rPr>
          <w:rFonts w:asciiTheme="minorHAnsi" w:hAnsiTheme="minorHAnsi" w:cstheme="minorHAnsi"/>
          <w:sz w:val="22"/>
          <w:szCs w:val="22"/>
        </w:rPr>
        <w:t xml:space="preserve"> primer tramo en el TM de </w:t>
      </w:r>
      <w:proofErr w:type="spellStart"/>
      <w:proofErr w:type="gramStart"/>
      <w:r>
        <w:rPr>
          <w:rFonts w:asciiTheme="minorHAnsi" w:hAnsiTheme="minorHAnsi" w:cstheme="minorHAnsi"/>
          <w:sz w:val="22"/>
          <w:szCs w:val="22"/>
        </w:rPr>
        <w:t>Zarzalejo</w:t>
      </w:r>
      <w:proofErr w:type="spellEnd"/>
      <w:r>
        <w:rPr>
          <w:rFonts w:asciiTheme="minorHAnsi" w:hAnsiTheme="minorHAnsi" w:cstheme="minorHAnsi"/>
          <w:sz w:val="22"/>
          <w:szCs w:val="22"/>
        </w:rPr>
        <w:t xml:space="preserve"> ,</w:t>
      </w:r>
      <w:proofErr w:type="gramEnd"/>
      <w:r>
        <w:rPr>
          <w:rFonts w:asciiTheme="minorHAnsi" w:hAnsiTheme="minorHAnsi" w:cstheme="minorHAnsi"/>
          <w:sz w:val="22"/>
          <w:szCs w:val="22"/>
        </w:rPr>
        <w:t xml:space="preserve"> entre los apoyos 30 y 36, y en un segundo tramo, en el TM de El Escorial, entre los apoyos 66 y 86. Se trata además de una zona de bosque densamente poblada de arbolado donde se harán especialmente críticos los impactos por tala que se han puesto de manifiesto en el apartado referido a los impactos sobre la flora.</w:t>
      </w:r>
    </w:p>
    <w:p w:rsidR="004517B0" w:rsidRDefault="004517B0">
      <w:pPr>
        <w:jc w:val="both"/>
        <w:rPr>
          <w:rFonts w:asciiTheme="minorHAnsi" w:hAnsiTheme="minorHAnsi" w:cstheme="minorHAnsi"/>
          <w:sz w:val="22"/>
          <w:szCs w:val="22"/>
        </w:rPr>
      </w:pPr>
    </w:p>
    <w:p w:rsidR="004517B0" w:rsidRDefault="00C3288F">
      <w:pPr>
        <w:jc w:val="both"/>
        <w:rPr>
          <w:rFonts w:asciiTheme="minorHAnsi" w:hAnsiTheme="minorHAnsi" w:cstheme="minorHAnsi"/>
          <w:sz w:val="22"/>
          <w:szCs w:val="22"/>
        </w:rPr>
      </w:pPr>
      <w:r>
        <w:rPr>
          <w:rFonts w:asciiTheme="minorHAnsi" w:hAnsiTheme="minorHAnsi" w:cstheme="minorHAnsi"/>
          <w:sz w:val="22"/>
          <w:szCs w:val="22"/>
        </w:rPr>
        <w:t>Se da la circunstancia de que el estudio ambiental, ni siquiera identifica la presencia de este BIC (que confunde con la misma zona incluida dentro del territorio del PORN del Guadarrama), llegándose a decir sobre los bienes de interés cultural afectados que el más cercano está “</w:t>
      </w:r>
      <w:r>
        <w:rPr>
          <w:rFonts w:asciiTheme="minorHAnsi" w:hAnsiTheme="minorHAnsi" w:cstheme="minorHAnsi"/>
          <w:i/>
          <w:sz w:val="22"/>
          <w:szCs w:val="22"/>
        </w:rPr>
        <w:t>ubicado a más de 1,5 km de los apoyos”.</w:t>
      </w:r>
      <w:r>
        <w:rPr>
          <w:rFonts w:asciiTheme="minorHAnsi" w:hAnsiTheme="minorHAnsi" w:cstheme="minorHAnsi"/>
          <w:sz w:val="22"/>
          <w:szCs w:val="22"/>
        </w:rPr>
        <w:t xml:space="preserve"> Debe destacarse que la declaración del BIC afectado, se produjo por la necesidad de proteger este territorio como </w:t>
      </w:r>
      <w:r>
        <w:rPr>
          <w:rFonts w:asciiTheme="minorHAnsi" w:hAnsiTheme="minorHAnsi" w:cstheme="minorHAnsi"/>
          <w:b/>
          <w:i/>
          <w:sz w:val="22"/>
          <w:szCs w:val="22"/>
        </w:rPr>
        <w:t>“el sitio”</w:t>
      </w:r>
      <w:r>
        <w:rPr>
          <w:rFonts w:asciiTheme="minorHAnsi" w:hAnsiTheme="minorHAnsi" w:cstheme="minorHAnsi"/>
          <w:sz w:val="22"/>
          <w:szCs w:val="22"/>
        </w:rPr>
        <w:t xml:space="preserve"> del Monasterio de San Lorenzo de El Escorial, incluido en  la Lista del Patrimonio Mundial declarado por la UNESCO. En este sentido el Decreto 52/2006 deja dicho:</w:t>
      </w:r>
    </w:p>
    <w:p w:rsidR="004517B0" w:rsidRDefault="00C3288F">
      <w:pPr>
        <w:ind w:left="708"/>
        <w:jc w:val="both"/>
        <w:rPr>
          <w:rFonts w:asciiTheme="minorHAnsi" w:hAnsiTheme="minorHAnsi" w:cstheme="minorHAnsi"/>
          <w:i/>
          <w:sz w:val="22"/>
          <w:szCs w:val="22"/>
        </w:rPr>
      </w:pPr>
      <w:r>
        <w:rPr>
          <w:rFonts w:asciiTheme="minorHAnsi" w:hAnsiTheme="minorHAnsi" w:cstheme="minorHAnsi"/>
          <w:i/>
          <w:sz w:val="22"/>
          <w:szCs w:val="22"/>
          <w:lang w:eastAsia="es-ES"/>
        </w:rPr>
        <w:t xml:space="preserve">“El Real Sitio de San Lorenzo de El Escorial constituye sin duda uno de los conjuntos más complejos y ricos en patrimonio del estado español. La asociación entre los valores históricos, culturales, paisajísticos y artísticos existentes en el Real Sitio, confinado por el muro de la Cerca, de la época de la fundación del Monasterio de San Lorenzo de El </w:t>
      </w:r>
      <w:r>
        <w:rPr>
          <w:rFonts w:asciiTheme="minorHAnsi" w:hAnsiTheme="minorHAnsi" w:cstheme="minorHAnsi"/>
          <w:i/>
          <w:sz w:val="22"/>
          <w:szCs w:val="22"/>
          <w:lang w:eastAsia="es-ES"/>
        </w:rPr>
        <w:lastRenderedPageBreak/>
        <w:t>Escorial, con un límite territorial establecido sobre bases históricas y jurídicas bien precisas, constituye un territorio que adquiere sus dimensiones en momentos históricos precisos, estableciendo una unidad funcional y una profunda coherencia territorial”.</w:t>
      </w:r>
    </w:p>
    <w:p w:rsidR="004517B0" w:rsidRDefault="004517B0">
      <w:pPr>
        <w:ind w:left="708"/>
        <w:jc w:val="both"/>
        <w:rPr>
          <w:rFonts w:asciiTheme="minorHAnsi" w:hAnsiTheme="minorHAnsi" w:cstheme="minorHAnsi"/>
          <w:bCs/>
          <w:i/>
          <w:sz w:val="22"/>
          <w:szCs w:val="22"/>
        </w:rPr>
      </w:pPr>
    </w:p>
    <w:p w:rsidR="004517B0" w:rsidRDefault="00C3288F">
      <w:pPr>
        <w:jc w:val="both"/>
        <w:rPr>
          <w:rFonts w:asciiTheme="minorHAnsi" w:hAnsiTheme="minorHAnsi" w:cstheme="minorHAnsi"/>
          <w:bCs/>
          <w:sz w:val="22"/>
          <w:szCs w:val="22"/>
        </w:rPr>
      </w:pPr>
      <w:r>
        <w:rPr>
          <w:rFonts w:asciiTheme="minorHAnsi" w:hAnsiTheme="minorHAnsi" w:cstheme="minorHAnsi"/>
          <w:bCs/>
          <w:sz w:val="22"/>
          <w:szCs w:val="22"/>
        </w:rPr>
        <w:t xml:space="preserve">La pretensión del solicitante de llevar la línea eléctrica  y 26 apoyos de la misma por unos suelos que han permanecido durante los últimos quinientos años formando parte de esa “unidad funcional”, incluida en el Patrimonio Mundial por la </w:t>
      </w:r>
      <w:proofErr w:type="gramStart"/>
      <w:r>
        <w:rPr>
          <w:rFonts w:asciiTheme="minorHAnsi" w:hAnsiTheme="minorHAnsi" w:cstheme="minorHAnsi"/>
          <w:bCs/>
          <w:sz w:val="22"/>
          <w:szCs w:val="22"/>
        </w:rPr>
        <w:t>UNESCO ,</w:t>
      </w:r>
      <w:proofErr w:type="gramEnd"/>
      <w:r>
        <w:rPr>
          <w:rFonts w:asciiTheme="minorHAnsi" w:hAnsiTheme="minorHAnsi" w:cstheme="minorHAnsi"/>
          <w:bCs/>
          <w:sz w:val="22"/>
          <w:szCs w:val="22"/>
        </w:rPr>
        <w:t xml:space="preserve"> deberá ser rechazada de plano. Si además ello se plantea sin ni siquiera haber evaluado los impactos críticos sobre el paisaje, la flora, la fauna o la fragmentación del territorio  que esta línea eléctrica provocará --pues ni siquiera el promotor ha sido capaz de identificar la presencia el BIC-,  la respuesta de las administraciones que deben autorizar el proyecto y dictar la declaración ambiental, no puede ser otra que la de declarar la imposibilidad de llevar a cabo la infraestructura por este territorio, y el consiguiente dictado de una DIA negativa.</w:t>
      </w:r>
    </w:p>
    <w:p w:rsidR="004517B0" w:rsidRDefault="00C3288F">
      <w:pPr>
        <w:jc w:val="both"/>
        <w:rPr>
          <w:rFonts w:asciiTheme="minorHAnsi" w:hAnsiTheme="minorHAnsi" w:cstheme="minorHAnsi"/>
          <w:bCs/>
          <w:sz w:val="22"/>
          <w:szCs w:val="22"/>
        </w:rPr>
      </w:pPr>
      <w:r>
        <w:rPr>
          <w:rFonts w:asciiTheme="minorHAnsi" w:hAnsiTheme="minorHAnsi" w:cstheme="minorHAnsi"/>
          <w:bCs/>
          <w:sz w:val="22"/>
          <w:szCs w:val="22"/>
        </w:rPr>
        <w:t xml:space="preserve">   </w:t>
      </w:r>
    </w:p>
    <w:p w:rsidR="004517B0" w:rsidRDefault="00C3288F">
      <w:pPr>
        <w:jc w:val="both"/>
        <w:rPr>
          <w:rFonts w:asciiTheme="minorHAnsi" w:hAnsiTheme="minorHAnsi" w:cstheme="minorHAnsi"/>
          <w:b/>
          <w:bCs/>
          <w:sz w:val="22"/>
          <w:szCs w:val="22"/>
        </w:rPr>
      </w:pPr>
      <w:r>
        <w:rPr>
          <w:rFonts w:asciiTheme="minorHAnsi" w:hAnsiTheme="minorHAnsi" w:cstheme="minorHAnsi"/>
          <w:b/>
          <w:bCs/>
          <w:sz w:val="22"/>
          <w:szCs w:val="22"/>
        </w:rPr>
        <w:t>5.- Otros impactos y deficiencias del proyecto.</w:t>
      </w:r>
    </w:p>
    <w:p w:rsidR="004517B0" w:rsidRDefault="004517B0">
      <w:pPr>
        <w:jc w:val="both"/>
        <w:rPr>
          <w:rFonts w:asciiTheme="minorHAnsi" w:hAnsiTheme="minorHAnsi" w:cstheme="minorHAnsi"/>
          <w:bCs/>
          <w:sz w:val="22"/>
          <w:szCs w:val="22"/>
        </w:rPr>
      </w:pPr>
    </w:p>
    <w:p w:rsidR="004517B0" w:rsidRDefault="00C3288F">
      <w:pPr>
        <w:jc w:val="both"/>
        <w:rPr>
          <w:rFonts w:asciiTheme="minorHAnsi" w:hAnsiTheme="minorHAnsi" w:cstheme="minorHAnsi"/>
          <w:bCs/>
          <w:sz w:val="22"/>
          <w:szCs w:val="22"/>
        </w:rPr>
      </w:pPr>
      <w:r>
        <w:rPr>
          <w:rFonts w:asciiTheme="minorHAnsi" w:hAnsiTheme="minorHAnsi" w:cstheme="minorHAnsi"/>
          <w:bCs/>
          <w:sz w:val="22"/>
          <w:szCs w:val="22"/>
        </w:rPr>
        <w:t>Junto a los graves impactos relacionados en las alegaciones anteriores, el proyecto causará también otros muchos perjuicios que o no han sido evaluados o lo han sido de manera deficiente. Igualmente los estudios realizados adolecen de numerosas deficiencias que lo hacen inviable. Entre ellos:</w:t>
      </w:r>
    </w:p>
    <w:p w:rsidR="004517B0" w:rsidRDefault="004517B0">
      <w:pPr>
        <w:jc w:val="both"/>
        <w:rPr>
          <w:rFonts w:asciiTheme="minorHAnsi" w:hAnsiTheme="minorHAnsi" w:cstheme="minorHAnsi"/>
          <w:bCs/>
          <w:sz w:val="22"/>
          <w:szCs w:val="22"/>
        </w:rPr>
      </w:pPr>
    </w:p>
    <w:p w:rsidR="004517B0" w:rsidRDefault="00C3288F">
      <w:pPr>
        <w:pStyle w:val="Prrafodelista"/>
        <w:numPr>
          <w:ilvl w:val="0"/>
          <w:numId w:val="1"/>
        </w:numPr>
        <w:jc w:val="both"/>
        <w:rPr>
          <w:rFonts w:asciiTheme="minorHAnsi" w:hAnsiTheme="minorHAnsi" w:cstheme="minorHAnsi"/>
          <w:bCs/>
          <w:sz w:val="22"/>
          <w:szCs w:val="22"/>
        </w:rPr>
      </w:pPr>
      <w:r>
        <w:rPr>
          <w:rFonts w:asciiTheme="minorHAnsi" w:hAnsiTheme="minorHAnsi" w:cstheme="minorHAnsi"/>
          <w:b/>
          <w:bCs/>
          <w:sz w:val="22"/>
          <w:szCs w:val="22"/>
        </w:rPr>
        <w:t>Problemas de ruido</w:t>
      </w:r>
      <w:r>
        <w:rPr>
          <w:rFonts w:asciiTheme="minorHAnsi" w:hAnsiTheme="minorHAnsi" w:cstheme="minorHAnsi"/>
          <w:bCs/>
          <w:sz w:val="22"/>
          <w:szCs w:val="22"/>
        </w:rPr>
        <w:t xml:space="preserve">. Las emisiones acústicas de los aerogeneradores puede ser percibido a grandes distancias, pudiendo alcanzar los 2 km de distancia. El </w:t>
      </w:r>
      <w:proofErr w:type="spellStart"/>
      <w:r>
        <w:rPr>
          <w:rFonts w:asciiTheme="minorHAnsi" w:hAnsiTheme="minorHAnsi" w:cstheme="minorHAnsi"/>
          <w:bCs/>
          <w:sz w:val="22"/>
          <w:szCs w:val="22"/>
        </w:rPr>
        <w:t>EsIA</w:t>
      </w:r>
      <w:proofErr w:type="spellEnd"/>
      <w:r>
        <w:rPr>
          <w:rFonts w:asciiTheme="minorHAnsi" w:hAnsiTheme="minorHAnsi" w:cstheme="minorHAnsi"/>
          <w:bCs/>
          <w:sz w:val="22"/>
          <w:szCs w:val="22"/>
        </w:rPr>
        <w:t xml:space="preserve"> no identifica el tipo de ruido que generará la PE Ágata, y no analiza tampoco los efectos sinérgicos de estas inmisiones dada la proximidad de otros parques eólicos presentes en la zona. Entre otros, </w:t>
      </w:r>
      <w:proofErr w:type="gramStart"/>
      <w:r>
        <w:rPr>
          <w:rFonts w:asciiTheme="minorHAnsi" w:hAnsiTheme="minorHAnsi" w:cstheme="minorHAnsi"/>
          <w:bCs/>
          <w:sz w:val="22"/>
          <w:szCs w:val="22"/>
        </w:rPr>
        <w:t>el denominado</w:t>
      </w:r>
      <w:proofErr w:type="gramEnd"/>
      <w:r>
        <w:rPr>
          <w:rFonts w:asciiTheme="minorHAnsi" w:hAnsiTheme="minorHAnsi" w:cstheme="minorHAnsi"/>
          <w:bCs/>
          <w:sz w:val="22"/>
          <w:szCs w:val="22"/>
        </w:rPr>
        <w:t xml:space="preserve"> Altos de Cartagena que se encuentra a tan solo 1,71 km.</w:t>
      </w:r>
    </w:p>
    <w:p w:rsidR="004517B0" w:rsidRDefault="00C3288F">
      <w:pPr>
        <w:pStyle w:val="Prrafodelista"/>
        <w:numPr>
          <w:ilvl w:val="0"/>
          <w:numId w:val="1"/>
        </w:numPr>
        <w:jc w:val="both"/>
        <w:rPr>
          <w:rFonts w:asciiTheme="minorHAnsi" w:hAnsiTheme="minorHAnsi" w:cstheme="minorHAnsi"/>
          <w:bCs/>
          <w:sz w:val="22"/>
          <w:szCs w:val="22"/>
        </w:rPr>
      </w:pPr>
      <w:r>
        <w:rPr>
          <w:rFonts w:asciiTheme="minorHAnsi" w:hAnsiTheme="minorHAnsi" w:cstheme="minorHAnsi"/>
          <w:b/>
          <w:bCs/>
          <w:sz w:val="22"/>
          <w:szCs w:val="22"/>
        </w:rPr>
        <w:t>Inexistencia de un adecuado estudio de alternativas</w:t>
      </w:r>
      <w:r>
        <w:rPr>
          <w:rFonts w:asciiTheme="minorHAnsi" w:hAnsiTheme="minorHAnsi" w:cstheme="minorHAnsi"/>
          <w:bCs/>
          <w:sz w:val="22"/>
          <w:szCs w:val="22"/>
        </w:rPr>
        <w:t>. Ni el proyecto de PE Ágata, ni la LAAT contienen un estudio de alternativas ambiental y técnicamente viables, conforme exige la vigente normativa. Sobre una decisión preconcebida de construir los 19 aerogeneradores y los 34 km. de línea eléctrica, el proyecto se limita a hacer unas burdas simulaciones sobre el plano de lo que supuestamente son distintas alternativas. Sin embargo,  ni las mismas son realmente analizadas –pues solo se trazan una serie de líneas y curvas sobre planos-, ni pueden ser consideradas técnica y ambientalmente viables –pues ni siquiera se estudian los impactos reales de las mismas-.</w:t>
      </w:r>
    </w:p>
    <w:p w:rsidR="004517B0" w:rsidRDefault="00C3288F">
      <w:pPr>
        <w:pStyle w:val="Prrafodelista"/>
        <w:numPr>
          <w:ilvl w:val="0"/>
          <w:numId w:val="1"/>
        </w:numPr>
        <w:jc w:val="both"/>
        <w:rPr>
          <w:rFonts w:asciiTheme="minorHAnsi" w:hAnsiTheme="minorHAnsi" w:cstheme="minorHAnsi"/>
          <w:bCs/>
          <w:sz w:val="22"/>
          <w:szCs w:val="22"/>
        </w:rPr>
      </w:pPr>
      <w:r>
        <w:rPr>
          <w:rFonts w:asciiTheme="minorHAnsi" w:hAnsiTheme="minorHAnsi" w:cstheme="minorHAnsi"/>
          <w:b/>
          <w:bCs/>
          <w:sz w:val="22"/>
          <w:szCs w:val="22"/>
        </w:rPr>
        <w:t>Impactos sobre humedales</w:t>
      </w:r>
      <w:r>
        <w:rPr>
          <w:rFonts w:asciiTheme="minorHAnsi" w:hAnsiTheme="minorHAnsi" w:cstheme="minorHAnsi"/>
          <w:bCs/>
          <w:sz w:val="22"/>
          <w:szCs w:val="22"/>
        </w:rPr>
        <w:t>.  La LAAT destruirá humedales de alto valor ecológico.</w:t>
      </w:r>
    </w:p>
    <w:p w:rsidR="004517B0" w:rsidRDefault="00C3288F">
      <w:pPr>
        <w:pStyle w:val="Prrafodelista"/>
        <w:numPr>
          <w:ilvl w:val="1"/>
          <w:numId w:val="1"/>
        </w:numPr>
        <w:jc w:val="both"/>
        <w:rPr>
          <w:rFonts w:asciiTheme="minorHAnsi" w:hAnsiTheme="minorHAnsi" w:cstheme="minorHAnsi"/>
          <w:bCs/>
          <w:sz w:val="22"/>
          <w:szCs w:val="22"/>
        </w:rPr>
      </w:pPr>
      <w:r>
        <w:rPr>
          <w:rFonts w:asciiTheme="minorHAnsi" w:hAnsiTheme="minorHAnsi" w:cstheme="minorHAnsi"/>
          <w:b/>
          <w:bCs/>
          <w:sz w:val="22"/>
          <w:szCs w:val="22"/>
        </w:rPr>
        <w:t>Lagunas del Castrejón</w:t>
      </w:r>
      <w:r>
        <w:rPr>
          <w:rFonts w:asciiTheme="minorHAnsi" w:hAnsiTheme="minorHAnsi" w:cstheme="minorHAnsi"/>
          <w:bCs/>
          <w:sz w:val="22"/>
          <w:szCs w:val="22"/>
        </w:rPr>
        <w:t xml:space="preserve">. </w:t>
      </w:r>
      <w:r>
        <w:rPr>
          <w:rFonts w:asciiTheme="minorHAnsi" w:hAnsiTheme="minorHAnsi" w:cstheme="minorHAnsi"/>
          <w:sz w:val="22"/>
          <w:szCs w:val="22"/>
        </w:rPr>
        <w:t xml:space="preserve">Se trata de un grupo de lagunas de gran valor natural, protegidas legalmente por la Comunidad de Madrid (Decreto 265/2001, de 29 de noviembre), incluidas en el Catálogo de Embalses y Humedales de la Comunidad de Madrid y en el Inventario Nacional de Zonas Húmedas. El proyecto plantea habilitar sobre su zona de protección un acceso para maquinaria pesada, así como la construcción del apoyo 55. </w:t>
      </w:r>
    </w:p>
    <w:p w:rsidR="004517B0" w:rsidRDefault="00C3288F">
      <w:pPr>
        <w:pStyle w:val="Prrafodelista"/>
        <w:numPr>
          <w:ilvl w:val="1"/>
          <w:numId w:val="1"/>
        </w:numPr>
        <w:shd w:val="clear" w:color="auto" w:fill="FFFFFF"/>
        <w:spacing w:after="225"/>
        <w:jc w:val="both"/>
        <w:rPr>
          <w:rFonts w:asciiTheme="minorHAnsi" w:hAnsiTheme="minorHAnsi" w:cstheme="minorHAnsi"/>
          <w:spacing w:val="-9"/>
          <w:sz w:val="22"/>
          <w:szCs w:val="22"/>
        </w:rPr>
      </w:pPr>
      <w:r>
        <w:rPr>
          <w:rFonts w:asciiTheme="minorHAnsi" w:hAnsiTheme="minorHAnsi" w:cstheme="minorHAnsi"/>
          <w:b/>
          <w:sz w:val="22"/>
          <w:szCs w:val="22"/>
        </w:rPr>
        <w:t xml:space="preserve">Embalse de </w:t>
      </w:r>
      <w:proofErr w:type="spellStart"/>
      <w:r>
        <w:rPr>
          <w:rFonts w:asciiTheme="minorHAnsi" w:hAnsiTheme="minorHAnsi" w:cstheme="minorHAnsi"/>
          <w:b/>
          <w:sz w:val="22"/>
          <w:szCs w:val="22"/>
        </w:rPr>
        <w:t>Valmayor</w:t>
      </w:r>
      <w:proofErr w:type="spellEnd"/>
      <w:r>
        <w:rPr>
          <w:rFonts w:asciiTheme="minorHAnsi" w:hAnsiTheme="minorHAnsi" w:cstheme="minorHAnsi"/>
          <w:sz w:val="22"/>
          <w:szCs w:val="22"/>
        </w:rPr>
        <w:t xml:space="preserve">. Embalse con un papel estratégico en el suministro hídrico de la zona noroeste de Madrid, y con una función ecológica como humedal de enorme importancia para la reproducción y enclave de paso de aves migratorias. </w:t>
      </w:r>
      <w:r>
        <w:rPr>
          <w:rFonts w:asciiTheme="minorHAnsi" w:hAnsiTheme="minorHAnsi" w:cstheme="minorHAnsi"/>
          <w:sz w:val="22"/>
          <w:szCs w:val="22"/>
          <w:shd w:val="clear" w:color="auto" w:fill="FFFFFF"/>
        </w:rPr>
        <w:t xml:space="preserve">La LAAT  atravesaría áreas catalogadas en el Plan como Zonas de Conservación (a regenerar y a conservar) y la construcción de las torres de sustento requeriría la apertura de caminos, contraviniendo diversos preceptos del Decreto 121/2002, de 5 de julio por el que se aprueba su Plan de Ordenación. </w:t>
      </w:r>
      <w:r>
        <w:rPr>
          <w:rFonts w:asciiTheme="minorHAnsi" w:hAnsiTheme="minorHAnsi" w:cstheme="minorHAnsi"/>
          <w:sz w:val="22"/>
          <w:szCs w:val="22"/>
        </w:rPr>
        <w:t xml:space="preserve">El sobrevuelo del cableado, entre los pie de torre nº 86 y nº 87, a una altura de entre 15m y 20m, se constituye en una </w:t>
      </w:r>
      <w:r>
        <w:rPr>
          <w:rFonts w:asciiTheme="minorHAnsi" w:hAnsiTheme="minorHAnsi" w:cstheme="minorHAnsi"/>
          <w:sz w:val="22"/>
          <w:szCs w:val="22"/>
          <w:u w:val="single"/>
        </w:rPr>
        <w:t>obstáculo muy peligroso</w:t>
      </w:r>
      <w:r>
        <w:rPr>
          <w:rFonts w:asciiTheme="minorHAnsi" w:hAnsiTheme="minorHAnsi" w:cstheme="minorHAnsi"/>
          <w:sz w:val="22"/>
          <w:szCs w:val="22"/>
        </w:rPr>
        <w:t xml:space="preserve"> para los movimientos locales de las </w:t>
      </w:r>
      <w:r>
        <w:rPr>
          <w:rFonts w:asciiTheme="minorHAnsi" w:hAnsiTheme="minorHAnsi" w:cstheme="minorHAnsi"/>
          <w:sz w:val="22"/>
          <w:szCs w:val="22"/>
          <w:u w:val="single"/>
        </w:rPr>
        <w:t>aves.</w:t>
      </w:r>
    </w:p>
    <w:p w:rsidR="004517B0" w:rsidRDefault="00C3288F">
      <w:pPr>
        <w:pStyle w:val="Prrafodelista"/>
        <w:numPr>
          <w:ilvl w:val="1"/>
          <w:numId w:val="1"/>
        </w:numPr>
        <w:shd w:val="clear" w:color="auto" w:fill="FFFFFF"/>
        <w:spacing w:after="225"/>
        <w:jc w:val="both"/>
        <w:rPr>
          <w:rFonts w:asciiTheme="minorHAnsi" w:hAnsiTheme="minorHAnsi" w:cstheme="minorHAnsi"/>
          <w:spacing w:val="-9"/>
          <w:sz w:val="22"/>
          <w:szCs w:val="22"/>
        </w:rPr>
      </w:pPr>
      <w:r>
        <w:rPr>
          <w:rFonts w:asciiTheme="minorHAnsi" w:hAnsiTheme="minorHAnsi" w:cstheme="minorHAnsi"/>
          <w:b/>
          <w:bCs/>
          <w:sz w:val="22"/>
          <w:szCs w:val="22"/>
        </w:rPr>
        <w:lastRenderedPageBreak/>
        <w:t>Laguna del Toril (Galapagar).</w:t>
      </w:r>
      <w:r>
        <w:rPr>
          <w:rFonts w:asciiTheme="minorHAnsi" w:hAnsiTheme="minorHAnsi" w:cstheme="minorHAnsi"/>
          <w:sz w:val="22"/>
          <w:szCs w:val="22"/>
        </w:rPr>
        <w:t xml:space="preserve"> </w:t>
      </w:r>
      <w:r>
        <w:rPr>
          <w:rFonts w:asciiTheme="minorHAnsi" w:hAnsiTheme="minorHAnsi" w:cstheme="minorHAnsi"/>
          <w:spacing w:val="-9"/>
          <w:sz w:val="22"/>
          <w:szCs w:val="22"/>
        </w:rPr>
        <w:t xml:space="preserve">Se trata de un humedal que mantiene su lámina de agua la mayor parte del año, oscilando su diámetro entre 10m y 30m. Es frecuentada por especies como el ánade azulón, la focha común, la garza real, el andarríos chico, el galápago leproso, la culebra bastarda o la culebra de escalera. La acometida del camino de acceso al punto donde se construiría el pie de torre nº 95 se realizaría junto al mismo borde de la laguna, pasando por encima del drenaje natural que da lugar al arroyo  San Gregorio. </w:t>
      </w:r>
    </w:p>
    <w:p w:rsidR="004517B0" w:rsidRDefault="00C3288F">
      <w:pPr>
        <w:pStyle w:val="Prrafodelista"/>
        <w:numPr>
          <w:ilvl w:val="0"/>
          <w:numId w:val="1"/>
        </w:numPr>
        <w:shd w:val="clear" w:color="auto" w:fill="FFFFFF"/>
        <w:spacing w:after="225"/>
        <w:jc w:val="both"/>
        <w:rPr>
          <w:rFonts w:asciiTheme="minorHAnsi" w:hAnsiTheme="minorHAnsi" w:cstheme="minorHAnsi"/>
          <w:b/>
          <w:bCs/>
          <w:sz w:val="22"/>
          <w:szCs w:val="22"/>
        </w:rPr>
      </w:pPr>
      <w:r>
        <w:rPr>
          <w:rFonts w:asciiTheme="minorHAnsi" w:hAnsiTheme="minorHAnsi" w:cstheme="minorHAnsi"/>
          <w:b/>
          <w:spacing w:val="-9"/>
          <w:sz w:val="22"/>
          <w:szCs w:val="22"/>
        </w:rPr>
        <w:t>Afección a restos arqueológicos: tramo enterrado de la calzada romana XXIV</w:t>
      </w:r>
      <w:r>
        <w:rPr>
          <w:rFonts w:asciiTheme="minorHAnsi" w:hAnsiTheme="minorHAnsi" w:cstheme="minorHAnsi"/>
          <w:spacing w:val="-9"/>
          <w:sz w:val="22"/>
          <w:szCs w:val="22"/>
        </w:rPr>
        <w:t xml:space="preserve">. El trazado de la línea eléctrica prevé que el pie de torre nº 95 se sitúe a escasos 15 metros de un tramo de la calzada romana XXIV Vía Antonina, actualmente enterrado como medida de conservación. </w:t>
      </w:r>
      <w:proofErr w:type="gramStart"/>
      <w:r>
        <w:rPr>
          <w:rFonts w:asciiTheme="minorHAnsi" w:hAnsiTheme="minorHAnsi" w:cstheme="minorHAnsi"/>
          <w:spacing w:val="-9"/>
          <w:sz w:val="22"/>
          <w:szCs w:val="22"/>
        </w:rPr>
        <w:t>Esta</w:t>
      </w:r>
      <w:proofErr w:type="gramEnd"/>
      <w:r>
        <w:rPr>
          <w:rFonts w:asciiTheme="minorHAnsi" w:hAnsiTheme="minorHAnsi" w:cstheme="minorHAnsi"/>
          <w:spacing w:val="-9"/>
          <w:sz w:val="22"/>
          <w:szCs w:val="22"/>
        </w:rPr>
        <w:t xml:space="preserve"> vial histórico tiene su continuación, hacia Galapagar, dentro del Parque Lineal del Toril, con tramos visibles y señalizados. El proyecto de LAAT no contempla esta circunstancia en el apartado de afecciones, pretendiendo que sea una futura prospección arqueológica la que analice el impacto sobre los restos arqueológicos.</w:t>
      </w:r>
      <w:r>
        <w:rPr>
          <w:rFonts w:asciiTheme="minorHAnsi" w:hAnsiTheme="minorHAnsi" w:cstheme="minorHAnsi"/>
          <w:b/>
          <w:bCs/>
          <w:sz w:val="22"/>
          <w:szCs w:val="22"/>
        </w:rPr>
        <w:t xml:space="preserve"> </w:t>
      </w:r>
    </w:p>
    <w:p w:rsidR="004517B0" w:rsidRDefault="004517B0">
      <w:pPr>
        <w:pStyle w:val="Prrafodelista"/>
        <w:shd w:val="clear" w:color="auto" w:fill="FFFFFF"/>
        <w:spacing w:after="225"/>
        <w:jc w:val="both"/>
        <w:rPr>
          <w:rFonts w:asciiTheme="minorHAnsi" w:hAnsiTheme="minorHAnsi" w:cstheme="minorHAnsi"/>
          <w:b/>
          <w:bCs/>
          <w:sz w:val="22"/>
          <w:szCs w:val="22"/>
        </w:rPr>
      </w:pPr>
    </w:p>
    <w:p w:rsidR="004517B0" w:rsidRDefault="00C3288F">
      <w:pPr>
        <w:pStyle w:val="Ttulo2"/>
        <w:shd w:val="clear" w:color="auto" w:fill="FFFFFF"/>
        <w:spacing w:beforeAutospacing="0" w:after="225" w:afterAutospacing="0"/>
        <w:jc w:val="both"/>
        <w:rPr>
          <w:rFonts w:asciiTheme="minorHAnsi" w:hAnsiTheme="minorHAnsi" w:cstheme="minorHAnsi"/>
          <w:b w:val="0"/>
          <w:bCs w:val="0"/>
          <w:spacing w:val="-9"/>
          <w:sz w:val="22"/>
          <w:szCs w:val="22"/>
        </w:rPr>
      </w:pPr>
      <w:r>
        <w:rPr>
          <w:rFonts w:asciiTheme="minorHAnsi" w:hAnsiTheme="minorHAnsi" w:cstheme="minorHAnsi"/>
          <w:b w:val="0"/>
          <w:bCs w:val="0"/>
          <w:spacing w:val="-9"/>
          <w:sz w:val="22"/>
          <w:szCs w:val="22"/>
        </w:rPr>
        <w:t>Por todo ello,</w:t>
      </w:r>
    </w:p>
    <w:p w:rsidR="004517B0" w:rsidRDefault="00C3288F">
      <w:pPr>
        <w:pStyle w:val="Ttulo2"/>
        <w:shd w:val="clear" w:color="auto" w:fill="FFFFFF"/>
        <w:spacing w:beforeAutospacing="0" w:after="225" w:afterAutospacing="0"/>
        <w:jc w:val="both"/>
        <w:rPr>
          <w:rFonts w:asciiTheme="minorHAnsi" w:hAnsiTheme="minorHAnsi" w:cstheme="minorHAnsi"/>
          <w:b w:val="0"/>
          <w:bCs w:val="0"/>
          <w:spacing w:val="-9"/>
          <w:sz w:val="22"/>
          <w:szCs w:val="22"/>
        </w:rPr>
      </w:pPr>
      <w:r>
        <w:rPr>
          <w:rFonts w:asciiTheme="minorHAnsi" w:hAnsiTheme="minorHAnsi" w:cstheme="minorHAnsi"/>
          <w:bCs w:val="0"/>
          <w:spacing w:val="-9"/>
          <w:sz w:val="24"/>
          <w:szCs w:val="24"/>
        </w:rPr>
        <w:t>SOLICITO,</w:t>
      </w:r>
      <w:r>
        <w:rPr>
          <w:rFonts w:asciiTheme="minorHAnsi" w:hAnsiTheme="minorHAnsi" w:cstheme="minorHAnsi"/>
          <w:b w:val="0"/>
          <w:bCs w:val="0"/>
          <w:spacing w:val="-9"/>
          <w:sz w:val="22"/>
          <w:szCs w:val="22"/>
        </w:rPr>
        <w:t xml:space="preserve"> que dentro del periodo de información pública –BOE 12 de mayo 2021-  tenga por formuladas </w:t>
      </w:r>
      <w:r>
        <w:rPr>
          <w:rFonts w:asciiTheme="minorHAnsi" w:hAnsiTheme="minorHAnsi" w:cstheme="minorHAnsi"/>
          <w:bCs w:val="0"/>
          <w:spacing w:val="-9"/>
          <w:sz w:val="22"/>
          <w:szCs w:val="22"/>
        </w:rPr>
        <w:t>ALEGACIONES</w:t>
      </w:r>
      <w:r>
        <w:rPr>
          <w:rFonts w:asciiTheme="minorHAnsi" w:hAnsiTheme="minorHAnsi" w:cstheme="minorHAnsi"/>
          <w:b w:val="0"/>
          <w:bCs w:val="0"/>
          <w:spacing w:val="-9"/>
          <w:sz w:val="22"/>
          <w:szCs w:val="22"/>
        </w:rPr>
        <w:t xml:space="preserve"> a la </w:t>
      </w:r>
      <w:r>
        <w:rPr>
          <w:rFonts w:asciiTheme="minorHAnsi" w:hAnsiTheme="minorHAnsi" w:cstheme="minorHAnsi"/>
          <w:b w:val="0"/>
          <w:sz w:val="22"/>
          <w:szCs w:val="22"/>
        </w:rPr>
        <w:t xml:space="preserve">solicitud de Autorización Administrativa Previa y Declaración de Impacto Ambiental del parque eólico  “Ágata” y línea aérea de alta tensión  para el transporte de la energía generada;  y por considerar que los impactos que provocarán tales infraestructuras son críticos e inasumibles por sus efectos -entre otros muchos-, sobre la fauna, flora, paisaje, valores históricos y culturales presentes en el territorio en el que se proyectan, </w:t>
      </w:r>
      <w:r>
        <w:rPr>
          <w:rFonts w:asciiTheme="minorHAnsi" w:hAnsiTheme="minorHAnsi" w:cstheme="minorHAnsi"/>
          <w:sz w:val="22"/>
          <w:szCs w:val="22"/>
        </w:rPr>
        <w:t>DESESTIME</w:t>
      </w:r>
      <w:r>
        <w:rPr>
          <w:rFonts w:asciiTheme="minorHAnsi" w:hAnsiTheme="minorHAnsi" w:cstheme="minorHAnsi"/>
          <w:b w:val="0"/>
          <w:sz w:val="22"/>
          <w:szCs w:val="22"/>
        </w:rPr>
        <w:t xml:space="preserve"> la solicitud formulada y dicte declaración de impacto ambiental negativa.</w:t>
      </w:r>
    </w:p>
    <w:p w:rsidR="004517B0" w:rsidRDefault="004517B0">
      <w:pPr>
        <w:pStyle w:val="Ttulo2"/>
        <w:shd w:val="clear" w:color="auto" w:fill="FFFFFF"/>
        <w:spacing w:beforeAutospacing="0" w:after="225" w:afterAutospacing="0"/>
        <w:jc w:val="both"/>
        <w:rPr>
          <w:rFonts w:asciiTheme="minorHAnsi" w:hAnsiTheme="minorHAnsi" w:cstheme="minorHAnsi"/>
          <w:b w:val="0"/>
          <w:bCs w:val="0"/>
          <w:spacing w:val="-9"/>
          <w:sz w:val="22"/>
          <w:szCs w:val="22"/>
        </w:rPr>
      </w:pPr>
    </w:p>
    <w:p w:rsidR="004517B0" w:rsidRDefault="00C3288F">
      <w:pPr>
        <w:pStyle w:val="Ttulo2"/>
        <w:shd w:val="clear" w:color="auto" w:fill="FFFFFF"/>
        <w:spacing w:beforeAutospacing="0" w:after="225" w:afterAutospacing="0"/>
        <w:jc w:val="both"/>
        <w:rPr>
          <w:rFonts w:asciiTheme="minorHAnsi" w:hAnsiTheme="minorHAnsi" w:cstheme="minorHAnsi"/>
          <w:b w:val="0"/>
          <w:bCs w:val="0"/>
          <w:spacing w:val="-9"/>
          <w:sz w:val="22"/>
          <w:szCs w:val="22"/>
        </w:rPr>
      </w:pPr>
      <w:r>
        <w:rPr>
          <w:rFonts w:asciiTheme="minorHAnsi" w:hAnsiTheme="minorHAnsi" w:cstheme="minorHAnsi"/>
          <w:b w:val="0"/>
          <w:bCs w:val="0"/>
          <w:spacing w:val="-9"/>
          <w:sz w:val="22"/>
          <w:szCs w:val="22"/>
        </w:rPr>
        <w:t xml:space="preserve">                                          En                                           </w:t>
      </w:r>
      <w:proofErr w:type="spellStart"/>
      <w:r>
        <w:rPr>
          <w:rFonts w:asciiTheme="minorHAnsi" w:hAnsiTheme="minorHAnsi" w:cstheme="minorHAnsi"/>
          <w:b w:val="0"/>
          <w:bCs w:val="0"/>
          <w:spacing w:val="-9"/>
          <w:sz w:val="22"/>
          <w:szCs w:val="22"/>
        </w:rPr>
        <w:t>a</w:t>
      </w:r>
      <w:proofErr w:type="spellEnd"/>
      <w:r>
        <w:rPr>
          <w:rFonts w:asciiTheme="minorHAnsi" w:hAnsiTheme="minorHAnsi" w:cstheme="minorHAnsi"/>
          <w:b w:val="0"/>
          <w:bCs w:val="0"/>
          <w:spacing w:val="-9"/>
          <w:sz w:val="22"/>
          <w:szCs w:val="22"/>
        </w:rPr>
        <w:t xml:space="preserve">       de junio de 2021</w:t>
      </w:r>
    </w:p>
    <w:p w:rsidR="004517B0" w:rsidRDefault="004517B0">
      <w:pPr>
        <w:pStyle w:val="Ttulo2"/>
        <w:shd w:val="clear" w:color="auto" w:fill="FFFFFF"/>
        <w:spacing w:beforeAutospacing="0" w:after="225" w:afterAutospacing="0"/>
        <w:jc w:val="both"/>
        <w:rPr>
          <w:rFonts w:asciiTheme="minorHAnsi" w:hAnsiTheme="minorHAnsi" w:cstheme="minorHAnsi"/>
          <w:b w:val="0"/>
          <w:bCs w:val="0"/>
          <w:spacing w:val="-9"/>
          <w:sz w:val="22"/>
          <w:szCs w:val="22"/>
        </w:rPr>
      </w:pPr>
    </w:p>
    <w:p w:rsidR="004517B0" w:rsidRDefault="004517B0">
      <w:pPr>
        <w:pStyle w:val="Ttulo2"/>
        <w:shd w:val="clear" w:color="auto" w:fill="FFFFFF"/>
        <w:spacing w:beforeAutospacing="0" w:after="225" w:afterAutospacing="0"/>
        <w:jc w:val="both"/>
      </w:pPr>
    </w:p>
    <w:sectPr w:rsidR="004517B0">
      <w:headerReference w:type="default" r:id="rId8"/>
      <w:pgSz w:w="11906" w:h="16838"/>
      <w:pgMar w:top="1417" w:right="1701" w:bottom="1417" w:left="1701" w:header="708"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9F3" w:rsidRDefault="00D459F3">
      <w:r>
        <w:separator/>
      </w:r>
    </w:p>
  </w:endnote>
  <w:endnote w:type="continuationSeparator" w:id="0">
    <w:p w:rsidR="00D459F3" w:rsidRDefault="00D4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9F3" w:rsidRDefault="00D459F3">
      <w:r>
        <w:separator/>
      </w:r>
    </w:p>
  </w:footnote>
  <w:footnote w:type="continuationSeparator" w:id="0">
    <w:p w:rsidR="00D459F3" w:rsidRDefault="00D45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7B0" w:rsidRDefault="00C3288F">
    <w:pPr>
      <w:pStyle w:val="Encabezado"/>
      <w:ind w:right="360"/>
    </w:pPr>
    <w:r>
      <w:rPr>
        <w:noProof/>
        <w:lang w:eastAsia="es-ES"/>
      </w:rPr>
      <mc:AlternateContent>
        <mc:Choice Requires="wps">
          <w:drawing>
            <wp:anchor distT="0" distB="0" distL="0" distR="0" simplePos="0" relativeHeight="8" behindDoc="0" locked="0" layoutInCell="1" allowOverlap="1">
              <wp:simplePos x="0" y="0"/>
              <wp:positionH relativeFrom="margin">
                <wp:align>right</wp:align>
              </wp:positionH>
              <wp:positionV relativeFrom="paragraph">
                <wp:posOffset>635</wp:posOffset>
              </wp:positionV>
              <wp:extent cx="76835" cy="175260"/>
              <wp:effectExtent l="0" t="0" r="0" b="0"/>
              <wp:wrapSquare wrapText="largest"/>
              <wp:docPr id="1" name="Marco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rsidR="004517B0" w:rsidRDefault="00C3288F">
                          <w:pPr>
                            <w:pStyle w:val="Encabezado"/>
                          </w:pPr>
                          <w:r>
                            <w:rPr>
                              <w:rStyle w:val="Nmerodepgina"/>
                            </w:rPr>
                            <w:fldChar w:fldCharType="begin"/>
                          </w:r>
                          <w:r>
                            <w:instrText>PAGE</w:instrText>
                          </w:r>
                          <w:r>
                            <w:fldChar w:fldCharType="separate"/>
                          </w:r>
                          <w:r w:rsidR="00C27B60">
                            <w:rPr>
                              <w:noProof/>
                            </w:rPr>
                            <w:t>1</w:t>
                          </w:r>
                          <w: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Marco1" o:spid="_x0000_s1026" type="#_x0000_t202" style="position:absolute;margin-left:-45.15pt;margin-top:.05pt;width:6.05pt;height:13.8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" stroked="f">
              <v:fill opacity="0"/>
              <v:textbox style="mso-fit-shape-to-text:t" inset="0,0,0,0">
                <w:txbxContent>
                  <w:p w:rsidR="004517B0" w:rsidRDefault="00C3288F">
                    <w:pPr>
                      <w:pStyle w:val="Encabezado"/>
                    </w:pPr>
                    <w:r>
                      <w:rPr>
                        <w:rStyle w:val="Nmerodepgina"/>
                      </w:rPr>
                      <w:fldChar w:fldCharType="begin"/>
                    </w:r>
                    <w:r>
                      <w:instrText>PAGE</w:instrText>
                    </w:r>
                    <w:r>
                      <w:fldChar w:fldCharType="separate"/>
                    </w:r>
                    <w:r w:rsidR="00C27B60">
                      <w:rPr>
                        <w:noProof/>
                      </w:rPr>
                      <w:t>1</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5C8B"/>
    <w:multiLevelType w:val="multilevel"/>
    <w:tmpl w:val="FD6A61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96D2260"/>
    <w:multiLevelType w:val="multilevel"/>
    <w:tmpl w:val="E11684F4"/>
    <w:lvl w:ilvl="0">
      <w:start w:val="5"/>
      <w:numFmt w:val="bullet"/>
      <w:lvlText w:val=""/>
      <w:lvlJc w:val="left"/>
      <w:pPr>
        <w:ind w:left="720" w:hanging="360"/>
      </w:pPr>
      <w:rPr>
        <w:rFonts w:ascii="Wingdings" w:hAnsi="Wingdings" w:cs="Calibri" w:hint="default"/>
        <w:b/>
        <w:sz w:val="22"/>
      </w:rPr>
    </w:lvl>
    <w:lvl w:ilvl="1">
      <w:start w:val="1"/>
      <w:numFmt w:val="bullet"/>
      <w:lvlText w:val="o"/>
      <w:lvlJc w:val="left"/>
      <w:pPr>
        <w:ind w:left="1440" w:hanging="360"/>
      </w:pPr>
      <w:rPr>
        <w:rFonts w:ascii="Courier New" w:hAnsi="Courier New" w:cs="Courier New" w:hint="default"/>
        <w:b/>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B0"/>
    <w:rsid w:val="004517B0"/>
    <w:rsid w:val="00477647"/>
    <w:rsid w:val="008973FF"/>
    <w:rsid w:val="00C27B60"/>
    <w:rsid w:val="00C3288F"/>
    <w:rsid w:val="00D459F3"/>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paragraph" w:styleId="Ttulo1">
    <w:name w:val="heading 1"/>
    <w:basedOn w:val="Normal"/>
    <w:next w:val="Normal"/>
    <w:qFormat/>
    <w:rsid w:val="00AE5160"/>
    <w:pPr>
      <w:keepNext/>
      <w:spacing w:before="240" w:after="60"/>
      <w:outlineLvl w:val="0"/>
    </w:pPr>
    <w:rPr>
      <w:rFonts w:ascii="Arial" w:hAnsi="Arial" w:cs="Arial"/>
      <w:b/>
      <w:bCs/>
      <w:sz w:val="32"/>
      <w:szCs w:val="32"/>
    </w:rPr>
  </w:style>
  <w:style w:type="paragraph" w:styleId="Ttulo2">
    <w:name w:val="heading 2"/>
    <w:basedOn w:val="Normal"/>
    <w:qFormat/>
    <w:rsid w:val="00760192"/>
    <w:pPr>
      <w:spacing w:beforeAutospacing="1"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rsid w:val="00CA6CBD"/>
    <w:rPr>
      <w:color w:val="0000FF"/>
      <w:u w:val="single"/>
    </w:rPr>
  </w:style>
  <w:style w:type="character" w:styleId="Nmerodepgina">
    <w:name w:val="page number"/>
    <w:basedOn w:val="Fuentedeprrafopredeter"/>
    <w:qFormat/>
    <w:rsid w:val="00941044"/>
  </w:style>
  <w:style w:type="character" w:customStyle="1" w:styleId="TextodegloboCar">
    <w:name w:val="Texto de globo Car"/>
    <w:basedOn w:val="Fuentedeprrafopredeter"/>
    <w:link w:val="Textodeglobo"/>
    <w:uiPriority w:val="99"/>
    <w:semiHidden/>
    <w:qFormat/>
    <w:rsid w:val="005277F0"/>
    <w:rPr>
      <w:rFonts w:ascii="Tahoma" w:hAnsi="Tahoma" w:cs="Tahoma"/>
      <w:sz w:val="16"/>
      <w:szCs w:val="16"/>
      <w:lang w:eastAsia="zh-CN"/>
    </w:rPr>
  </w:style>
  <w:style w:type="character" w:customStyle="1" w:styleId="ListLabel1">
    <w:name w:val="ListLabel 1"/>
    <w:qFormat/>
    <w:rPr>
      <w:rFonts w:eastAsia="SimSu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SimSun" w:cs="Calibri"/>
      <w:b/>
      <w:sz w:val="22"/>
    </w:rPr>
  </w:style>
  <w:style w:type="character" w:customStyle="1" w:styleId="ListLabel14">
    <w:name w:val="ListLabel 14"/>
    <w:qFormat/>
    <w:rPr>
      <w:rFonts w:cs="Courier New"/>
      <w:b/>
      <w:sz w:val="22"/>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paragraph" w:styleId="Encabezado">
    <w:name w:val="header"/>
    <w:basedOn w:val="Normal"/>
    <w:next w:val="Textoindependiente"/>
    <w:rsid w:val="00941044"/>
    <w:pPr>
      <w:tabs>
        <w:tab w:val="center" w:pos="4252"/>
        <w:tab w:val="right" w:pos="8504"/>
      </w:tabs>
    </w:pPr>
  </w:style>
  <w:style w:type="paragraph" w:styleId="Textoindependiente">
    <w:name w:val="Body Text"/>
    <w:basedOn w:val="Normal"/>
    <w:pPr>
      <w:spacing w:after="140" w:line="288" w:lineRule="auto"/>
    </w:pPr>
  </w:style>
  <w:style w:type="paragraph" w:styleId="Lista">
    <w:name w:val="List"/>
    <w:basedOn w:val="Textoindependiente"/>
    <w:rPr>
      <w:rFonts w:cs="Lohit Devanagari"/>
    </w:rPr>
  </w:style>
  <w:style w:type="paragraph" w:styleId="Epgrafe">
    <w:name w:val="caption"/>
    <w:basedOn w:val="Normal"/>
    <w:qFormat/>
    <w:pPr>
      <w:suppressLineNumbers/>
      <w:spacing w:before="120" w:after="120"/>
    </w:pPr>
    <w:rPr>
      <w:rFonts w:cs="Lohit Devanagari"/>
      <w:i/>
      <w:iCs/>
    </w:rPr>
  </w:style>
  <w:style w:type="paragraph" w:customStyle="1" w:styleId="ndice">
    <w:name w:val="Índice"/>
    <w:basedOn w:val="Normal"/>
    <w:qFormat/>
    <w:pPr>
      <w:suppressLineNumbers/>
    </w:pPr>
    <w:rPr>
      <w:rFonts w:cs="Lohit Devanagari"/>
    </w:rPr>
  </w:style>
  <w:style w:type="paragraph" w:customStyle="1" w:styleId="Default">
    <w:name w:val="Default"/>
    <w:qFormat/>
    <w:rsid w:val="00587DD9"/>
    <w:rPr>
      <w:rFonts w:ascii="Arial" w:hAnsi="Arial" w:cs="Arial"/>
      <w:color w:val="000000"/>
      <w:sz w:val="24"/>
      <w:szCs w:val="24"/>
      <w:lang w:eastAsia="zh-CN"/>
    </w:rPr>
  </w:style>
  <w:style w:type="paragraph" w:styleId="NormalWeb">
    <w:name w:val="Normal (Web)"/>
    <w:basedOn w:val="Normal"/>
    <w:qFormat/>
    <w:rsid w:val="00760192"/>
    <w:pPr>
      <w:spacing w:beforeAutospacing="1" w:afterAutospacing="1"/>
    </w:pPr>
  </w:style>
  <w:style w:type="paragraph" w:styleId="Textodeglobo">
    <w:name w:val="Balloon Text"/>
    <w:basedOn w:val="Normal"/>
    <w:link w:val="TextodegloboCar"/>
    <w:uiPriority w:val="99"/>
    <w:semiHidden/>
    <w:unhideWhenUsed/>
    <w:qFormat/>
    <w:rsid w:val="005277F0"/>
    <w:rPr>
      <w:rFonts w:ascii="Tahoma" w:hAnsi="Tahoma" w:cs="Tahoma"/>
      <w:sz w:val="16"/>
      <w:szCs w:val="16"/>
    </w:rPr>
  </w:style>
  <w:style w:type="paragraph" w:styleId="Prrafodelista">
    <w:name w:val="List Paragraph"/>
    <w:basedOn w:val="Normal"/>
    <w:uiPriority w:val="34"/>
    <w:qFormat/>
    <w:rsid w:val="00503044"/>
    <w:pPr>
      <w:ind w:left="720"/>
      <w:contextualSpacing/>
    </w:pPr>
  </w:style>
  <w:style w:type="paragraph" w:customStyle="1" w:styleId="Contenidodelmarco">
    <w:name w:val="Contenido del marco"/>
    <w:basedOn w:val="Normal"/>
    <w:qFormat/>
  </w:style>
  <w:style w:type="table" w:styleId="Tablaconcuadrcula">
    <w:name w:val="Table Grid"/>
    <w:basedOn w:val="Tablanormal"/>
    <w:rsid w:val="00871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paragraph" w:styleId="Ttulo1">
    <w:name w:val="heading 1"/>
    <w:basedOn w:val="Normal"/>
    <w:next w:val="Normal"/>
    <w:qFormat/>
    <w:rsid w:val="00AE5160"/>
    <w:pPr>
      <w:keepNext/>
      <w:spacing w:before="240" w:after="60"/>
      <w:outlineLvl w:val="0"/>
    </w:pPr>
    <w:rPr>
      <w:rFonts w:ascii="Arial" w:hAnsi="Arial" w:cs="Arial"/>
      <w:b/>
      <w:bCs/>
      <w:sz w:val="32"/>
      <w:szCs w:val="32"/>
    </w:rPr>
  </w:style>
  <w:style w:type="paragraph" w:styleId="Ttulo2">
    <w:name w:val="heading 2"/>
    <w:basedOn w:val="Normal"/>
    <w:qFormat/>
    <w:rsid w:val="00760192"/>
    <w:pPr>
      <w:spacing w:beforeAutospacing="1"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rsid w:val="00CA6CBD"/>
    <w:rPr>
      <w:color w:val="0000FF"/>
      <w:u w:val="single"/>
    </w:rPr>
  </w:style>
  <w:style w:type="character" w:styleId="Nmerodepgina">
    <w:name w:val="page number"/>
    <w:basedOn w:val="Fuentedeprrafopredeter"/>
    <w:qFormat/>
    <w:rsid w:val="00941044"/>
  </w:style>
  <w:style w:type="character" w:customStyle="1" w:styleId="TextodegloboCar">
    <w:name w:val="Texto de globo Car"/>
    <w:basedOn w:val="Fuentedeprrafopredeter"/>
    <w:link w:val="Textodeglobo"/>
    <w:uiPriority w:val="99"/>
    <w:semiHidden/>
    <w:qFormat/>
    <w:rsid w:val="005277F0"/>
    <w:rPr>
      <w:rFonts w:ascii="Tahoma" w:hAnsi="Tahoma" w:cs="Tahoma"/>
      <w:sz w:val="16"/>
      <w:szCs w:val="16"/>
      <w:lang w:eastAsia="zh-CN"/>
    </w:rPr>
  </w:style>
  <w:style w:type="character" w:customStyle="1" w:styleId="ListLabel1">
    <w:name w:val="ListLabel 1"/>
    <w:qFormat/>
    <w:rPr>
      <w:rFonts w:eastAsia="SimSu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SimSun" w:cs="Calibri"/>
      <w:b/>
      <w:sz w:val="22"/>
    </w:rPr>
  </w:style>
  <w:style w:type="character" w:customStyle="1" w:styleId="ListLabel14">
    <w:name w:val="ListLabel 14"/>
    <w:qFormat/>
    <w:rPr>
      <w:rFonts w:cs="Courier New"/>
      <w:b/>
      <w:sz w:val="22"/>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paragraph" w:styleId="Encabezado">
    <w:name w:val="header"/>
    <w:basedOn w:val="Normal"/>
    <w:next w:val="Textoindependiente"/>
    <w:rsid w:val="00941044"/>
    <w:pPr>
      <w:tabs>
        <w:tab w:val="center" w:pos="4252"/>
        <w:tab w:val="right" w:pos="8504"/>
      </w:tabs>
    </w:pPr>
  </w:style>
  <w:style w:type="paragraph" w:styleId="Textoindependiente">
    <w:name w:val="Body Text"/>
    <w:basedOn w:val="Normal"/>
    <w:pPr>
      <w:spacing w:after="140" w:line="288" w:lineRule="auto"/>
    </w:pPr>
  </w:style>
  <w:style w:type="paragraph" w:styleId="Lista">
    <w:name w:val="List"/>
    <w:basedOn w:val="Textoindependiente"/>
    <w:rPr>
      <w:rFonts w:cs="Lohit Devanagari"/>
    </w:rPr>
  </w:style>
  <w:style w:type="paragraph" w:styleId="Epgrafe">
    <w:name w:val="caption"/>
    <w:basedOn w:val="Normal"/>
    <w:qFormat/>
    <w:pPr>
      <w:suppressLineNumbers/>
      <w:spacing w:before="120" w:after="120"/>
    </w:pPr>
    <w:rPr>
      <w:rFonts w:cs="Lohit Devanagari"/>
      <w:i/>
      <w:iCs/>
    </w:rPr>
  </w:style>
  <w:style w:type="paragraph" w:customStyle="1" w:styleId="ndice">
    <w:name w:val="Índice"/>
    <w:basedOn w:val="Normal"/>
    <w:qFormat/>
    <w:pPr>
      <w:suppressLineNumbers/>
    </w:pPr>
    <w:rPr>
      <w:rFonts w:cs="Lohit Devanagari"/>
    </w:rPr>
  </w:style>
  <w:style w:type="paragraph" w:customStyle="1" w:styleId="Default">
    <w:name w:val="Default"/>
    <w:qFormat/>
    <w:rsid w:val="00587DD9"/>
    <w:rPr>
      <w:rFonts w:ascii="Arial" w:hAnsi="Arial" w:cs="Arial"/>
      <w:color w:val="000000"/>
      <w:sz w:val="24"/>
      <w:szCs w:val="24"/>
      <w:lang w:eastAsia="zh-CN"/>
    </w:rPr>
  </w:style>
  <w:style w:type="paragraph" w:styleId="NormalWeb">
    <w:name w:val="Normal (Web)"/>
    <w:basedOn w:val="Normal"/>
    <w:qFormat/>
    <w:rsid w:val="00760192"/>
    <w:pPr>
      <w:spacing w:beforeAutospacing="1" w:afterAutospacing="1"/>
    </w:pPr>
  </w:style>
  <w:style w:type="paragraph" w:styleId="Textodeglobo">
    <w:name w:val="Balloon Text"/>
    <w:basedOn w:val="Normal"/>
    <w:link w:val="TextodegloboCar"/>
    <w:uiPriority w:val="99"/>
    <w:semiHidden/>
    <w:unhideWhenUsed/>
    <w:qFormat/>
    <w:rsid w:val="005277F0"/>
    <w:rPr>
      <w:rFonts w:ascii="Tahoma" w:hAnsi="Tahoma" w:cs="Tahoma"/>
      <w:sz w:val="16"/>
      <w:szCs w:val="16"/>
    </w:rPr>
  </w:style>
  <w:style w:type="paragraph" w:styleId="Prrafodelista">
    <w:name w:val="List Paragraph"/>
    <w:basedOn w:val="Normal"/>
    <w:uiPriority w:val="34"/>
    <w:qFormat/>
    <w:rsid w:val="00503044"/>
    <w:pPr>
      <w:ind w:left="720"/>
      <w:contextualSpacing/>
    </w:pPr>
  </w:style>
  <w:style w:type="paragraph" w:customStyle="1" w:styleId="Contenidodelmarco">
    <w:name w:val="Contenido del marco"/>
    <w:basedOn w:val="Normal"/>
    <w:qFormat/>
  </w:style>
  <w:style w:type="table" w:styleId="Tablaconcuadrcula">
    <w:name w:val="Table Grid"/>
    <w:basedOn w:val="Tablanormal"/>
    <w:rsid w:val="00871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3033</Words>
  <Characters>16682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La empresa GREEN CAPITAL DEVELOPMENT 51, S</vt:lpstr>
    </vt:vector>
  </TitlesOfParts>
  <Company>Javier Zarzuela</Company>
  <LinksUpToDate>false</LinksUpToDate>
  <CharactersWithSpaces>19676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empresa GREEN CAPITAL DEVELOPMENT 51, S</dc:title>
  <dc:creator>Javier Zarzuela</dc:creator>
  <cp:lastModifiedBy>Colectivo Azálvaro</cp:lastModifiedBy>
  <cp:revision>2</cp:revision>
  <dcterms:created xsi:type="dcterms:W3CDTF">2021-06-20T17:16:00Z</dcterms:created>
  <dcterms:modified xsi:type="dcterms:W3CDTF">2021-06-20T17:16:00Z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Javier Zarzuela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